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SOC 2 Control Policy Suite</w:t>
      </w:r>
    </w:p>
    <w:p>
      <w:r>
        <w:rPr>
          <w:b/>
          <w:color w:val="1D8A8A"/>
          <w:sz w:val="22"/>
        </w:rPr>
        <w:t>SOC 2 TRUST SERVICES CRITERIA</w:t>
      </w:r>
    </w:p>
    <w:p>
      <w:pPr>
        <w:pStyle w:val="Subtitle"/>
      </w:pPr>
      <w:r>
        <w:t>Detailed sample policies for establishing auditable controls and reliable evidence across an examination period.</w:t>
      </w:r>
    </w:p>
    <w:p>
      <w:r>
        <w:t>Organization: __________________________________________</w:t>
      </w:r>
    </w:p>
    <w:p>
      <w:r>
        <w:t>Owner: ____________________   Version: ______   Review date: __________</w:t>
      </w:r>
    </w:p>
    <w:tbl>
      <w:tblPr>
        <w:tblW w:type="auto" w:w="0"/>
        <w:tblLook w:firstColumn="1" w:firstRow="1" w:lastColumn="0" w:lastRow="0" w:noHBand="0" w:noVBand="1" w:val="04A0"/>
      </w:tblPr>
      <w:tblGrid>
        <w:gridCol w:w="10166"/>
      </w:tblGrid>
      <w:tr>
        <w:tc>
          <w:tcPr>
            <w:tcW w:type="dxa" w:w="10166"/>
            <w:shd w:fill="EAF6F5"/>
          </w:tcPr>
          <w:p>
            <w:r>
              <w:rPr>
                <w:color w:val="20313D"/>
                <w:sz w:val="18"/>
              </w:rPr>
              <w:t>How to use this sample</w:t>
              <w:br/>
              <w:t>Replace bracketed prompts, align statements with actual practices, assign accountable owners, and attach evidence. This sample is educational—not legal advice, an attestation, or evidence of certification. Requirements and interpretations change; verify current authoritative sources and contractual obligations.</w:t>
            </w:r>
          </w:p>
        </w:tc>
      </w:tr>
    </w:tbl>
    <w:p>
      <w:r>
        <w:br w:type="page"/>
      </w:r>
    </w:p>
    <w:p>
      <w:pPr>
        <w:pStyle w:val="Heading1"/>
      </w:pPr>
      <w:r>
        <w:t>Template purpose</w:t>
      </w:r>
    </w:p>
    <w:p>
      <w:r>
        <w:t>Provide a practical policy baseline for defining a system, managing risk, operating controls and preparing evidence for an independent CPA examination.</w:t>
      </w:r>
    </w:p>
    <w:p>
      <w:pPr>
        <w:pStyle w:val="Heading1"/>
      </w:pPr>
      <w:r>
        <w:t>Implementation instructions</w:t>
      </w:r>
    </w:p>
    <w:p>
      <w:pPr>
        <w:pStyle w:val="ListBullet"/>
      </w:pPr>
      <w:r>
        <w:t>Replace every bracketed prompt with approved organization-specific information.</w:t>
      </w:r>
    </w:p>
    <w:p>
      <w:pPr>
        <w:pStyle w:val="ListBullet"/>
      </w:pPr>
      <w:r>
        <w:t>Reconcile the policy with contracts, law, architecture, procedures and actual control operation.</w:t>
      </w:r>
    </w:p>
    <w:p>
      <w:pPr>
        <w:pStyle w:val="ListBullet"/>
      </w:pPr>
      <w:r>
        <w:t>Assign named accountable owners and define evidence, frequency and review expectations.</w:t>
      </w:r>
    </w:p>
    <w:p>
      <w:pPr>
        <w:pStyle w:val="ListBullet"/>
      </w:pPr>
      <w:r>
        <w:t>Document gaps in an approved corrective-action or risk-treatment process rather than overstating implementation.</w:t>
      </w:r>
    </w:p>
    <w:p>
      <w:pPr>
        <w:pStyle w:val="ListBullet"/>
      </w:pPr>
      <w:r>
        <w:t>Obtain management approval, communicate requirements and review after material change.</w:t>
      </w:r>
    </w:p>
    <w:p>
      <w:pPr>
        <w:pStyle w:val="Heading1"/>
      </w:pPr>
      <w:r>
        <w:t>Scope and applicability record</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Scope question</w:t>
            </w:r>
          </w:p>
        </w:tc>
        <w:tc>
          <w:tcPr>
            <w:tcW w:type="dxa" w:w="3389"/>
            <w:shd w:fill="183B56"/>
            <w:vAlign w:val="center"/>
          </w:tcPr>
          <w:p>
            <w:r>
              <w:rPr>
                <w:b/>
                <w:color w:val="FFFFFF"/>
                <w:sz w:val="18"/>
              </w:rPr>
              <w:t>Organization response</w:t>
            </w:r>
          </w:p>
        </w:tc>
        <w:tc>
          <w:tcPr>
            <w:tcW w:type="dxa" w:w="3389"/>
            <w:shd w:fill="183B56"/>
            <w:vAlign w:val="center"/>
          </w:tcPr>
          <w:p>
            <w:r>
              <w:rPr>
                <w:b/>
                <w:color w:val="FFFFFF"/>
                <w:sz w:val="18"/>
              </w:rPr>
              <w:t>Owner/evidence</w:t>
            </w:r>
          </w:p>
        </w:tc>
      </w:tr>
      <w:tr>
        <w:tc>
          <w:tcPr>
            <w:tcW w:type="dxa" w:w="3389"/>
            <w:vAlign w:val="center"/>
          </w:tcPr>
          <w:p>
            <w:pPr>
              <w:spacing w:after="40"/>
            </w:pPr>
            <w:r>
              <w:rPr>
                <w:color w:val="20313D"/>
                <w:sz w:val="17"/>
              </w:rPr>
              <w:t>System/service scope</w:t>
            </w:r>
          </w:p>
        </w:tc>
        <w:tc>
          <w:tcPr>
            <w:tcW w:type="dxa" w:w="3389"/>
            <w:vAlign w:val="center"/>
          </w:tcPr>
          <w:p>
            <w:pPr>
              <w:spacing w:after="40"/>
            </w:pPr>
            <w:r>
              <w:rPr>
                <w:color w:val="20313D"/>
                <w:sz w:val="17"/>
              </w:rPr>
              <w:t>[Products, infrastructure, people, procedures and data]</w:t>
            </w:r>
          </w:p>
        </w:tc>
        <w:tc>
          <w:tcPr>
            <w:tcW w:type="dxa" w:w="3389"/>
            <w:vAlign w:val="center"/>
          </w:tcPr>
          <w:p>
            <w:pPr>
              <w:spacing w:after="40"/>
            </w:pPr>
            <w:r>
              <w:rPr>
                <w:color w:val="20313D"/>
                <w:sz w:val="17"/>
              </w:rPr>
              <w:t>[System description]</w:t>
            </w:r>
          </w:p>
        </w:tc>
      </w:tr>
      <w:tr>
        <w:tc>
          <w:tcPr>
            <w:tcW w:type="dxa" w:w="3389"/>
            <w:vAlign w:val="center"/>
            <w:shd w:fill="F4FAFA"/>
          </w:tcPr>
          <w:p>
            <w:pPr>
              <w:spacing w:after="40"/>
            </w:pPr>
            <w:r>
              <w:rPr>
                <w:color w:val="20313D"/>
                <w:sz w:val="17"/>
              </w:rPr>
              <w:t>Trust Services Criteria</w:t>
            </w:r>
          </w:p>
        </w:tc>
        <w:tc>
          <w:tcPr>
            <w:tcW w:type="dxa" w:w="3389"/>
            <w:vAlign w:val="center"/>
            <w:shd w:fill="F4FAFA"/>
          </w:tcPr>
          <w:p>
            <w:pPr>
              <w:spacing w:after="40"/>
            </w:pPr>
            <w:r>
              <w:rPr>
                <w:color w:val="20313D"/>
                <w:sz w:val="17"/>
              </w:rPr>
              <w:t>[Security plus selected categories]</w:t>
            </w:r>
          </w:p>
        </w:tc>
        <w:tc>
          <w:tcPr>
            <w:tcW w:type="dxa" w:w="3389"/>
            <w:vAlign w:val="center"/>
            <w:shd w:fill="F4FAFA"/>
          </w:tcPr>
          <w:p>
            <w:pPr>
              <w:spacing w:after="40"/>
            </w:pPr>
            <w:r>
              <w:rPr>
                <w:color w:val="20313D"/>
                <w:sz w:val="17"/>
              </w:rPr>
              <w:t>[Scoping approval]</w:t>
            </w:r>
          </w:p>
        </w:tc>
      </w:tr>
      <w:tr>
        <w:tc>
          <w:tcPr>
            <w:tcW w:type="dxa" w:w="3389"/>
            <w:vAlign w:val="center"/>
          </w:tcPr>
          <w:p>
            <w:pPr>
              <w:spacing w:after="40"/>
            </w:pPr>
            <w:r>
              <w:rPr>
                <w:color w:val="20313D"/>
                <w:sz w:val="17"/>
              </w:rPr>
              <w:t>Examination objective</w:t>
            </w:r>
          </w:p>
        </w:tc>
        <w:tc>
          <w:tcPr>
            <w:tcW w:type="dxa" w:w="3389"/>
            <w:vAlign w:val="center"/>
          </w:tcPr>
          <w:p>
            <w:pPr>
              <w:spacing w:after="40"/>
            </w:pPr>
            <w:r>
              <w:rPr>
                <w:color w:val="20313D"/>
                <w:sz w:val="17"/>
              </w:rPr>
              <w:t>[Type I or Type II and target period]</w:t>
            </w:r>
          </w:p>
        </w:tc>
        <w:tc>
          <w:tcPr>
            <w:tcW w:type="dxa" w:w="3389"/>
            <w:vAlign w:val="center"/>
          </w:tcPr>
          <w:p>
            <w:pPr>
              <w:spacing w:after="40"/>
            </w:pPr>
            <w:r>
              <w:rPr>
                <w:color w:val="20313D"/>
                <w:sz w:val="17"/>
              </w:rPr>
              <w:t>[Management/auditor confirmation]</w:t>
            </w:r>
          </w:p>
        </w:tc>
      </w:tr>
      <w:tr>
        <w:tc>
          <w:tcPr>
            <w:tcW w:type="dxa" w:w="3389"/>
            <w:vAlign w:val="center"/>
            <w:shd w:fill="F4FAFA"/>
          </w:tcPr>
          <w:p>
            <w:pPr>
              <w:spacing w:after="40"/>
            </w:pPr>
            <w:r>
              <w:rPr>
                <w:color w:val="20313D"/>
                <w:sz w:val="17"/>
              </w:rPr>
              <w:t>Subservice organizations</w:t>
            </w:r>
          </w:p>
        </w:tc>
        <w:tc>
          <w:tcPr>
            <w:tcW w:type="dxa" w:w="3389"/>
            <w:vAlign w:val="center"/>
            <w:shd w:fill="F4FAFA"/>
          </w:tcPr>
          <w:p>
            <w:pPr>
              <w:spacing w:after="40"/>
            </w:pPr>
            <w:r>
              <w:rPr>
                <w:color w:val="20313D"/>
                <w:sz w:val="17"/>
              </w:rPr>
              <w:t>[Inclusive/carve-out and responsibilities]</w:t>
            </w:r>
          </w:p>
        </w:tc>
        <w:tc>
          <w:tcPr>
            <w:tcW w:type="dxa" w:w="3389"/>
            <w:vAlign w:val="center"/>
            <w:shd w:fill="F4FAFA"/>
          </w:tcPr>
          <w:p>
            <w:pPr>
              <w:spacing w:after="40"/>
            </w:pPr>
            <w:r>
              <w:rPr>
                <w:color w:val="20313D"/>
                <w:sz w:val="17"/>
              </w:rPr>
              <w:t>[Vendor/control matrix]</w:t>
            </w:r>
          </w:p>
        </w:tc>
      </w:tr>
    </w:tbl>
    <w:p/>
    <w:p>
      <w:pPr>
        <w:pStyle w:val="Heading1"/>
      </w:pPr>
      <w:r>
        <w:t>Common governance rules</w:t>
      </w:r>
    </w:p>
    <w:p>
      <w:pPr>
        <w:pStyle w:val="ListBullet"/>
      </w:pPr>
      <w:r>
        <w:t>Policies must describe actual operations; aspirational language is converted into an approved implementation plan.</w:t>
      </w:r>
    </w:p>
    <w:p>
      <w:pPr>
        <w:pStyle w:val="ListBullet"/>
      </w:pPr>
      <w:r>
        <w:t>Exceptions require a business justification, risk evaluation, compensating safeguards, owner, approval and expiration date.</w:t>
      </w:r>
    </w:p>
    <w:p>
      <w:pPr>
        <w:pStyle w:val="ListBullet"/>
      </w:pPr>
      <w:r>
        <w:t>Control owners maintain evidence for the relevant review or examination period and protect evidence from unauthorized change.</w:t>
      </w:r>
    </w:p>
    <w:p>
      <w:pPr>
        <w:pStyle w:val="ListBullet"/>
      </w:pPr>
      <w:r>
        <w:t>Material changes, incidents, audit findings and regulatory updates trigger an out-of-cycle review.</w:t>
      </w:r>
    </w:p>
    <w:p>
      <w:pPr>
        <w:pStyle w:val="ListBullet"/>
      </w:pPr>
      <w:r>
        <w:t>Management reviews program performance, overdue actions, accepted risk and resource constraints on a defined cadence.</w:t>
      </w:r>
    </w:p>
    <w:p>
      <w:pPr>
        <w:pStyle w:val="Heading1"/>
      </w:pPr>
      <w:r>
        <w:t>Document governance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Role</w:t>
            </w:r>
          </w:p>
        </w:tc>
        <w:tc>
          <w:tcPr>
            <w:tcW w:type="dxa" w:w="3389"/>
            <w:shd w:fill="183B56"/>
            <w:vAlign w:val="center"/>
          </w:tcPr>
          <w:p>
            <w:r>
              <w:rPr>
                <w:b/>
                <w:color w:val="FFFFFF"/>
                <w:sz w:val="18"/>
              </w:rPr>
              <w:t>Named owner</w:t>
            </w:r>
          </w:p>
        </w:tc>
        <w:tc>
          <w:tcPr>
            <w:tcW w:type="dxa" w:w="3389"/>
            <w:shd w:fill="183B56"/>
            <w:vAlign w:val="center"/>
          </w:tcPr>
          <w:p>
            <w:r>
              <w:rPr>
                <w:b/>
                <w:color w:val="FFFFFF"/>
                <w:sz w:val="18"/>
              </w:rPr>
              <w:t>Accountability</w:t>
            </w:r>
          </w:p>
        </w:tc>
      </w:tr>
      <w:tr>
        <w:tc>
          <w:tcPr>
            <w:tcW w:type="dxa" w:w="3389"/>
            <w:vAlign w:val="center"/>
          </w:tcPr>
          <w:p>
            <w:pPr>
              <w:spacing w:after="40"/>
            </w:pPr>
            <w:r>
              <w:rPr>
                <w:color w:val="20313D"/>
                <w:sz w:val="17"/>
              </w:rPr>
              <w:t>Executive sponsor</w:t>
            </w:r>
          </w:p>
        </w:tc>
        <w:tc>
          <w:tcPr>
            <w:tcW w:type="dxa" w:w="3389"/>
            <w:vAlign w:val="center"/>
          </w:tcPr>
          <w:p>
            <w:pPr>
              <w:spacing w:after="40"/>
            </w:pPr>
            <w:r>
              <w:rPr>
                <w:color w:val="20313D"/>
                <w:sz w:val="17"/>
              </w:rPr>
              <w:t>[Name / title]</w:t>
            </w:r>
          </w:p>
        </w:tc>
        <w:tc>
          <w:tcPr>
            <w:tcW w:type="dxa" w:w="3389"/>
            <w:vAlign w:val="center"/>
          </w:tcPr>
          <w:p>
            <w:pPr>
              <w:spacing w:after="40"/>
            </w:pPr>
            <w:r>
              <w:rPr>
                <w:color w:val="20313D"/>
                <w:sz w:val="17"/>
              </w:rPr>
              <w:t>Approves scope, resources, risk acceptance and material changes.</w:t>
            </w:r>
          </w:p>
        </w:tc>
      </w:tr>
      <w:tr>
        <w:tc>
          <w:tcPr>
            <w:tcW w:type="dxa" w:w="3389"/>
            <w:vAlign w:val="center"/>
            <w:shd w:fill="F4FAFA"/>
          </w:tcPr>
          <w:p>
            <w:pPr>
              <w:spacing w:after="40"/>
            </w:pPr>
            <w:r>
              <w:rPr>
                <w:color w:val="20313D"/>
                <w:sz w:val="17"/>
              </w:rPr>
              <w:t>Program owner</w:t>
            </w:r>
          </w:p>
        </w:tc>
        <w:tc>
          <w:tcPr>
            <w:tcW w:type="dxa" w:w="3389"/>
            <w:vAlign w:val="center"/>
            <w:shd w:fill="F4FAFA"/>
          </w:tcPr>
          <w:p>
            <w:pPr>
              <w:spacing w:after="40"/>
            </w:pPr>
            <w:r>
              <w:rPr>
                <w:color w:val="20313D"/>
                <w:sz w:val="17"/>
              </w:rPr>
              <w:t>[Name / title]</w:t>
            </w:r>
          </w:p>
        </w:tc>
        <w:tc>
          <w:tcPr>
            <w:tcW w:type="dxa" w:w="3389"/>
            <w:vAlign w:val="center"/>
            <w:shd w:fill="F4FAFA"/>
          </w:tcPr>
          <w:p>
            <w:pPr>
              <w:spacing w:after="40"/>
            </w:pPr>
            <w:r>
              <w:rPr>
                <w:color w:val="20313D"/>
                <w:sz w:val="17"/>
              </w:rPr>
              <w:t>Coordinates implementation, evidence, reviews and reporting.</w:t>
            </w:r>
          </w:p>
        </w:tc>
      </w:tr>
      <w:tr>
        <w:tc>
          <w:tcPr>
            <w:tcW w:type="dxa" w:w="3389"/>
            <w:vAlign w:val="center"/>
          </w:tcPr>
          <w:p>
            <w:pPr>
              <w:spacing w:after="40"/>
            </w:pPr>
            <w:r>
              <w:rPr>
                <w:color w:val="20313D"/>
                <w:sz w:val="17"/>
              </w:rPr>
              <w:t>Control owners</w:t>
            </w:r>
          </w:p>
        </w:tc>
        <w:tc>
          <w:tcPr>
            <w:tcW w:type="dxa" w:w="3389"/>
            <w:vAlign w:val="center"/>
          </w:tcPr>
          <w:p>
            <w:pPr>
              <w:spacing w:after="40"/>
            </w:pPr>
            <w:r>
              <w:rPr>
                <w:color w:val="20313D"/>
                <w:sz w:val="17"/>
              </w:rPr>
              <w:t>[Functions / names]</w:t>
            </w:r>
          </w:p>
        </w:tc>
        <w:tc>
          <w:tcPr>
            <w:tcW w:type="dxa" w:w="3389"/>
            <w:vAlign w:val="center"/>
          </w:tcPr>
          <w:p>
            <w:pPr>
              <w:spacing w:after="40"/>
            </w:pPr>
            <w:r>
              <w:rPr>
                <w:color w:val="20313D"/>
                <w:sz w:val="17"/>
              </w:rPr>
              <w:t>Operate assigned controls and maintain accurate evidence.</w:t>
            </w:r>
          </w:p>
        </w:tc>
      </w:tr>
      <w:tr>
        <w:tc>
          <w:tcPr>
            <w:tcW w:type="dxa" w:w="3389"/>
            <w:vAlign w:val="center"/>
            <w:shd w:fill="F4FAFA"/>
          </w:tcPr>
          <w:p>
            <w:pPr>
              <w:spacing w:after="40"/>
            </w:pPr>
            <w:r>
              <w:rPr>
                <w:color w:val="20313D"/>
                <w:sz w:val="17"/>
              </w:rPr>
              <w:t>Independent reviewer</w:t>
            </w:r>
          </w:p>
        </w:tc>
        <w:tc>
          <w:tcPr>
            <w:tcW w:type="dxa" w:w="3389"/>
            <w:vAlign w:val="center"/>
            <w:shd w:fill="F4FAFA"/>
          </w:tcPr>
          <w:p>
            <w:pPr>
              <w:spacing w:after="40"/>
            </w:pPr>
            <w:r>
              <w:rPr>
                <w:color w:val="20313D"/>
                <w:sz w:val="17"/>
              </w:rPr>
              <w:t>[Name / provider]</w:t>
            </w:r>
          </w:p>
        </w:tc>
        <w:tc>
          <w:tcPr>
            <w:tcW w:type="dxa" w:w="3389"/>
            <w:vAlign w:val="center"/>
            <w:shd w:fill="F4FAFA"/>
          </w:tcPr>
          <w:p>
            <w:pPr>
              <w:spacing w:after="40"/>
            </w:pPr>
            <w:r>
              <w:rPr>
                <w:color w:val="20313D"/>
                <w:sz w:val="17"/>
              </w:rPr>
              <w:t>Challenges completeness and tests readiness where appropriate.</w:t>
            </w:r>
          </w:p>
        </w:tc>
      </w:tr>
    </w:tbl>
    <w:p/>
    <w:p>
      <w:pPr>
        <w:pStyle w:val="Heading2"/>
      </w:pPr>
      <w:r>
        <w:t>Approval and revision history</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033"/>
        <w:gridCol w:w="2033"/>
        <w:gridCol w:w="2033"/>
        <w:gridCol w:w="2033"/>
        <w:gridCol w:w="2033"/>
      </w:tblGrid>
      <w:tr>
        <w:tc>
          <w:tcPr>
            <w:tcW w:type="dxa" w:w="2033"/>
            <w:shd w:fill="183B56"/>
            <w:vAlign w:val="center"/>
          </w:tcPr>
          <w:p>
            <w:r>
              <w:rPr>
                <w:b/>
                <w:color w:val="FFFFFF"/>
                <w:sz w:val="18"/>
              </w:rPr>
              <w:t>Version</w:t>
            </w:r>
          </w:p>
        </w:tc>
        <w:tc>
          <w:tcPr>
            <w:tcW w:type="dxa" w:w="2033"/>
            <w:shd w:fill="183B56"/>
            <w:vAlign w:val="center"/>
          </w:tcPr>
          <w:p>
            <w:r>
              <w:rPr>
                <w:b/>
                <w:color w:val="FFFFFF"/>
                <w:sz w:val="18"/>
              </w:rPr>
              <w:t>Date</w:t>
            </w:r>
          </w:p>
        </w:tc>
        <w:tc>
          <w:tcPr>
            <w:tcW w:type="dxa" w:w="2033"/>
            <w:shd w:fill="183B56"/>
            <w:vAlign w:val="center"/>
          </w:tcPr>
          <w:p>
            <w:r>
              <w:rPr>
                <w:b/>
                <w:color w:val="FFFFFF"/>
                <w:sz w:val="18"/>
              </w:rPr>
              <w:t>Change</w:t>
            </w:r>
          </w:p>
        </w:tc>
        <w:tc>
          <w:tcPr>
            <w:tcW w:type="dxa" w:w="2033"/>
            <w:shd w:fill="183B56"/>
            <w:vAlign w:val="center"/>
          </w:tcPr>
          <w:p>
            <w:r>
              <w:rPr>
                <w:b/>
                <w:color w:val="FFFFFF"/>
                <w:sz w:val="18"/>
              </w:rPr>
              <w:t>Author</w:t>
            </w:r>
          </w:p>
        </w:tc>
        <w:tc>
          <w:tcPr>
            <w:tcW w:type="dxa" w:w="2033"/>
            <w:shd w:fill="183B56"/>
            <w:vAlign w:val="center"/>
          </w:tcPr>
          <w:p>
            <w:r>
              <w:rPr>
                <w:b/>
                <w:color w:val="FFFFFF"/>
                <w:sz w:val="18"/>
              </w:rPr>
              <w:t>Approver</w:t>
            </w:r>
          </w:p>
        </w:tc>
      </w:tr>
      <w:tr>
        <w:tc>
          <w:tcPr>
            <w:tcW w:type="dxa" w:w="2033"/>
            <w:vAlign w:val="center"/>
          </w:tcPr>
          <w:p>
            <w:pPr>
              <w:spacing w:after="40"/>
            </w:pPr>
            <w:r>
              <w:rPr>
                <w:color w:val="20313D"/>
                <w:sz w:val="17"/>
              </w:rPr>
              <w:t>0.1</w:t>
            </w:r>
          </w:p>
        </w:tc>
        <w:tc>
          <w:tcPr>
            <w:tcW w:type="dxa" w:w="2033"/>
            <w:vAlign w:val="center"/>
          </w:tcPr>
          <w:p>
            <w:pPr>
              <w:spacing w:after="40"/>
            </w:pPr>
            <w:r>
              <w:rPr>
                <w:color w:val="20313D"/>
                <w:sz w:val="17"/>
              </w:rPr>
              <w:t>[Date]</w:t>
            </w:r>
          </w:p>
        </w:tc>
        <w:tc>
          <w:tcPr>
            <w:tcW w:type="dxa" w:w="2033"/>
            <w:vAlign w:val="center"/>
          </w:tcPr>
          <w:p>
            <w:pPr>
              <w:spacing w:after="40"/>
            </w:pPr>
            <w:r>
              <w:rPr>
                <w:color w:val="20313D"/>
                <w:sz w:val="17"/>
              </w:rPr>
              <w:t>Initial working draft</w:t>
            </w:r>
          </w:p>
        </w:tc>
        <w:tc>
          <w:tcPr>
            <w:tcW w:type="dxa" w:w="2033"/>
            <w:vAlign w:val="center"/>
          </w:tcPr>
          <w:p>
            <w:pPr>
              <w:spacing w:after="40"/>
            </w:pPr>
            <w:r>
              <w:rPr>
                <w:color w:val="20313D"/>
                <w:sz w:val="17"/>
              </w:rPr>
              <w:t>[Name]</w:t>
            </w:r>
          </w:p>
        </w:tc>
        <w:tc>
          <w:tcPr>
            <w:tcW w:type="dxa" w:w="2033"/>
            <w:vAlign w:val="center"/>
          </w:tcPr>
          <w:p>
            <w:pPr>
              <w:spacing w:after="40"/>
            </w:pPr>
            <w:r>
              <w:rPr>
                <w:color w:val="20313D"/>
                <w:sz w:val="17"/>
              </w:rPr>
              <w:t>[Name]</w:t>
            </w:r>
          </w:p>
        </w:tc>
      </w:tr>
      <w:tr>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r>
    </w:tbl>
    <w:p/>
    <w:p>
      <w:r>
        <w:br w:type="page"/>
      </w:r>
    </w:p>
    <w:p>
      <w:pPr>
        <w:pStyle w:val="Heading1"/>
      </w:pPr>
      <w:r>
        <w:t>1. Governance, Ethics and Risk Management</w:t>
      </w:r>
    </w:p>
    <w:p>
      <w:pPr>
        <w:pStyle w:val="Heading2"/>
      </w:pPr>
      <w:r>
        <w:t>Objective</w:t>
      </w:r>
    </w:p>
    <w:p>
      <w:r>
        <w:t>Establish oversight, accountability, ethical expectations and a repeatable process for identifying and treating risks to service commitments.</w:t>
      </w:r>
    </w:p>
    <w:p>
      <w:pPr>
        <w:pStyle w:val="Heading2"/>
      </w:pPr>
      <w:r>
        <w:t>Policy requirements</w:t>
      </w:r>
    </w:p>
    <w:p>
      <w:pPr>
        <w:pStyle w:val="ListBullet"/>
      </w:pPr>
      <w:r>
        <w:t>Management defines objectives, responsibilities, reporting and risk appetite.</w:t>
      </w:r>
    </w:p>
    <w:p>
      <w:pPr>
        <w:pStyle w:val="ListBullet"/>
      </w:pPr>
      <w:r>
        <w:t>Risks are linked to commitments, criteria and controls.</w:t>
      </w:r>
    </w:p>
    <w:p>
      <w:pPr>
        <w:pStyle w:val="ListBullet"/>
      </w:pPr>
      <w:r>
        <w:t>Fraud, change and vendor risks are considered and reviewed.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Confirm commitments and objectives.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Identify and assess risks.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Select and assign controls.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Monitor exceptions and change.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Report to management and approve treatment.</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Risk register</w:t>
      </w:r>
    </w:p>
    <w:p>
      <w:pPr>
        <w:pStyle w:val="ListBullet"/>
      </w:pPr>
      <w:r>
        <w:t>Control matrix</w:t>
      </w:r>
    </w:p>
    <w:p>
      <w:pPr>
        <w:pStyle w:val="ListBullet"/>
      </w:pPr>
      <w:r>
        <w:t>Management minutes</w:t>
      </w:r>
    </w:p>
    <w:p>
      <w:pPr>
        <w:pStyle w:val="ListBullet"/>
      </w:pPr>
      <w:r>
        <w:t>Code of conduct acknowledgment</w:t>
      </w:r>
    </w:p>
    <w:p>
      <w:pPr>
        <w:pStyle w:val="ListBullet"/>
      </w:pPr>
      <w:r>
        <w:t>Exception register</w:t>
      </w:r>
    </w:p>
    <w:p>
      <w:pPr>
        <w:pStyle w:val="Heading2"/>
      </w:pPr>
      <w:r>
        <w:t>Measures and review triggers</w:t>
      </w:r>
    </w:p>
    <w:p>
      <w:pPr>
        <w:pStyle w:val="ListBullet"/>
      </w:pPr>
      <w:r>
        <w:t>High risks overdue</w:t>
      </w:r>
    </w:p>
    <w:p>
      <w:pPr>
        <w:pStyle w:val="ListBullet"/>
      </w:pPr>
      <w:r>
        <w:t>Controls without owners</w:t>
      </w:r>
    </w:p>
    <w:p>
      <w:pPr>
        <w:pStyle w:val="ListBullet"/>
      </w:pPr>
      <w:r>
        <w:t>Exceptions past expiration</w:t>
      </w:r>
    </w:p>
    <w:p>
      <w:pPr>
        <w:pStyle w:val="ListBullet"/>
      </w:pPr>
      <w:r>
        <w:t>Management actions overdue</w:t>
      </w:r>
    </w:p>
    <w:p>
      <w:r>
        <w:br w:type="page"/>
      </w:r>
    </w:p>
    <w:p>
      <w:pPr>
        <w:pStyle w:val="Heading1"/>
      </w:pPr>
      <w:r>
        <w:t>2. Logical Access and Identity Lifecycle</w:t>
      </w:r>
    </w:p>
    <w:p>
      <w:pPr>
        <w:pStyle w:val="Heading2"/>
      </w:pPr>
      <w:r>
        <w:t>Objective</w:t>
      </w:r>
    </w:p>
    <w:p>
      <w:r>
        <w:t>Authorize, provision, review and remove access to systems and data according to business need and least privilege.</w:t>
      </w:r>
    </w:p>
    <w:p>
      <w:pPr>
        <w:pStyle w:val="Heading2"/>
      </w:pPr>
      <w:r>
        <w:t>Policy requirements</w:t>
      </w:r>
    </w:p>
    <w:p>
      <w:pPr>
        <w:pStyle w:val="ListBullet"/>
      </w:pPr>
      <w:r>
        <w:t>Requests require documented authorization.</w:t>
      </w:r>
    </w:p>
    <w:p>
      <w:pPr>
        <w:pStyle w:val="ListBullet"/>
      </w:pPr>
      <w:r>
        <w:t>Privileged access is restricted and monitored.</w:t>
      </w:r>
    </w:p>
    <w:p>
      <w:pPr>
        <w:pStyle w:val="ListBullet"/>
      </w:pPr>
      <w:r>
        <w:t>Authentication requirements are risk-based.</w:t>
      </w:r>
    </w:p>
    <w:p>
      <w:pPr>
        <w:pStyle w:val="ListBullet"/>
      </w:pPr>
      <w:r>
        <w:t>Access reviews and termination procedures are evidenced.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Request and approve.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Provision through controlled process.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Verify completion.</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Review users and privileges.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Remove or adjust after change/separation.</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Request/approval</w:t>
      </w:r>
    </w:p>
    <w:p>
      <w:pPr>
        <w:pStyle w:val="ListBullet"/>
      </w:pPr>
      <w:r>
        <w:t>Identity settings</w:t>
      </w:r>
    </w:p>
    <w:p>
      <w:pPr>
        <w:pStyle w:val="ListBullet"/>
      </w:pPr>
      <w:r>
        <w:t>Privileged-access list</w:t>
      </w:r>
    </w:p>
    <w:p>
      <w:pPr>
        <w:pStyle w:val="ListBullet"/>
      </w:pPr>
      <w:r>
        <w:t>Access review</w:t>
      </w:r>
    </w:p>
    <w:p>
      <w:pPr>
        <w:pStyle w:val="ListBullet"/>
      </w:pPr>
      <w:r>
        <w:t>Offboarding ticket</w:t>
      </w:r>
    </w:p>
    <w:p>
      <w:pPr>
        <w:pStyle w:val="Heading2"/>
      </w:pPr>
      <w:r>
        <w:t>Measures and review triggers</w:t>
      </w:r>
    </w:p>
    <w:p>
      <w:pPr>
        <w:pStyle w:val="ListBullet"/>
      </w:pPr>
      <w:r>
        <w:t>Disable time</w:t>
      </w:r>
    </w:p>
    <w:p>
      <w:pPr>
        <w:pStyle w:val="ListBullet"/>
      </w:pPr>
      <w:r>
        <w:t>Review completion</w:t>
      </w:r>
    </w:p>
    <w:p>
      <w:pPr>
        <w:pStyle w:val="ListBullet"/>
      </w:pPr>
      <w:r>
        <w:t>Dormant accounts</w:t>
      </w:r>
    </w:p>
    <w:p>
      <w:pPr>
        <w:pStyle w:val="ListBullet"/>
      </w:pPr>
      <w:r>
        <w:t>Privilege exceptions</w:t>
      </w:r>
    </w:p>
    <w:p>
      <w:r>
        <w:br w:type="page"/>
      </w:r>
    </w:p>
    <w:p>
      <w:pPr>
        <w:pStyle w:val="Heading1"/>
      </w:pPr>
      <w:r>
        <w:t>3. Change Management and Secure Development</w:t>
      </w:r>
    </w:p>
    <w:p>
      <w:pPr>
        <w:pStyle w:val="Heading2"/>
      </w:pPr>
      <w:r>
        <w:t>Objective</w:t>
      </w:r>
    </w:p>
    <w:p>
      <w:r>
        <w:t>Authorize, test, review and deploy changes in a controlled manner that protects system commitments.</w:t>
      </w:r>
    </w:p>
    <w:p>
      <w:pPr>
        <w:pStyle w:val="Heading2"/>
      </w:pPr>
      <w:r>
        <w:t>Policy requirements</w:t>
      </w:r>
    </w:p>
    <w:p>
      <w:pPr>
        <w:pStyle w:val="ListBullet"/>
      </w:pPr>
      <w:r>
        <w:t>Changes are categorized, approved, tested and traceable.</w:t>
      </w:r>
    </w:p>
    <w:p>
      <w:pPr>
        <w:pStyle w:val="ListBullet"/>
      </w:pPr>
      <w:r>
        <w:t>Development and production responsibilities are separated where feasible.</w:t>
      </w:r>
    </w:p>
    <w:p>
      <w:pPr>
        <w:pStyle w:val="ListBullet"/>
      </w:pPr>
      <w:r>
        <w:t>Security requirements and vulnerability remediation are integrated into delivery.</w:t>
      </w:r>
    </w:p>
    <w:p>
      <w:pPr>
        <w:pStyle w:val="ListBullet"/>
      </w:pPr>
      <w:r>
        <w:t>Emergency changes receive retrospective review.</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Document purpose/risk.</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Develop and test.</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Obtain required approval.</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Deploy with rollback/monitoring.</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Review outcome and close evidence.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Change ticket</w:t>
      </w:r>
    </w:p>
    <w:p>
      <w:pPr>
        <w:pStyle w:val="ListBullet"/>
      </w:pPr>
      <w:r>
        <w:t>Code review/test</w:t>
      </w:r>
    </w:p>
    <w:p>
      <w:pPr>
        <w:pStyle w:val="ListBullet"/>
      </w:pPr>
      <w:r>
        <w:t>Approval</w:t>
      </w:r>
    </w:p>
    <w:p>
      <w:pPr>
        <w:pStyle w:val="ListBullet"/>
      </w:pPr>
      <w:r>
        <w:t>Deployment log</w:t>
      </w:r>
    </w:p>
    <w:p>
      <w:pPr>
        <w:pStyle w:val="ListBullet"/>
      </w:pPr>
      <w:r>
        <w:t>Emergency review</w:t>
      </w:r>
    </w:p>
    <w:p>
      <w:pPr>
        <w:pStyle w:val="Heading2"/>
      </w:pPr>
      <w:r>
        <w:t>Measures and review triggers</w:t>
      </w:r>
    </w:p>
    <w:p>
      <w:pPr>
        <w:pStyle w:val="ListBullet"/>
      </w:pPr>
      <w:r>
        <w:t>Unauthorized changes</w:t>
      </w:r>
    </w:p>
    <w:p>
      <w:pPr>
        <w:pStyle w:val="ListBullet"/>
      </w:pPr>
      <w:r>
        <w:t>Failed changes</w:t>
      </w:r>
    </w:p>
    <w:p>
      <w:pPr>
        <w:pStyle w:val="ListBullet"/>
      </w:pPr>
      <w:r>
        <w:t>Emergency-change aging</w:t>
      </w:r>
    </w:p>
    <w:p>
      <w:pPr>
        <w:pStyle w:val="ListBullet"/>
      </w:pPr>
      <w:r>
        <w:t>Security findings introduced</w:t>
      </w:r>
    </w:p>
    <w:p>
      <w:r>
        <w:br w:type="page"/>
      </w:r>
    </w:p>
    <w:p>
      <w:pPr>
        <w:pStyle w:val="Heading1"/>
      </w:pPr>
      <w:r>
        <w:t>4. Security Operations and Vulnerability Management</w:t>
      </w:r>
    </w:p>
    <w:p>
      <w:pPr>
        <w:pStyle w:val="Heading2"/>
      </w:pPr>
      <w:r>
        <w:t>Objective</w:t>
      </w:r>
    </w:p>
    <w:p>
      <w:r>
        <w:t>Monitor relevant systems, investigate events and remediate vulnerabilities according to risk.</w:t>
      </w:r>
    </w:p>
    <w:p>
      <w:pPr>
        <w:pStyle w:val="Heading2"/>
      </w:pPr>
      <w:r>
        <w:t>Policy requirements</w:t>
      </w:r>
    </w:p>
    <w:p>
      <w:pPr>
        <w:pStyle w:val="ListBullet"/>
      </w:pPr>
      <w:r>
        <w:t>Asset and monitoring scope is defined.</w:t>
      </w:r>
    </w:p>
    <w:p>
      <w:pPr>
        <w:pStyle w:val="ListBullet"/>
      </w:pPr>
      <w:r>
        <w:t>Alerts and vulnerabilities are risk-ranked and assigned.</w:t>
      </w:r>
    </w:p>
    <w:p>
      <w:pPr>
        <w:pStyle w:val="ListBullet"/>
      </w:pPr>
      <w:r>
        <w:t>Remediation exceptions require approval and compensating safeguards.</w:t>
      </w:r>
    </w:p>
    <w:p>
      <w:pPr>
        <w:pStyle w:val="ListBullet"/>
      </w:pPr>
      <w:r>
        <w:t>Closure is validated and trends are reviewed.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Maintain inventory.</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Collect/monitor relevant events.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Scan or assess vulnerabilities.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Triage and remediate.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Retest and report.</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Asset inventory</w:t>
      </w:r>
    </w:p>
    <w:p>
      <w:pPr>
        <w:pStyle w:val="ListBullet"/>
      </w:pPr>
      <w:r>
        <w:t>Monitoring settings/tickets</w:t>
      </w:r>
    </w:p>
    <w:p>
      <w:pPr>
        <w:pStyle w:val="ListBullet"/>
      </w:pPr>
      <w:r>
        <w:t>Scan results</w:t>
      </w:r>
    </w:p>
    <w:p>
      <w:pPr>
        <w:pStyle w:val="ListBullet"/>
      </w:pPr>
      <w:r>
        <w:t>Remediation ticket</w:t>
      </w:r>
    </w:p>
    <w:p>
      <w:pPr>
        <w:pStyle w:val="ListBullet"/>
      </w:pPr>
      <w:r>
        <w:t>Exception/retest</w:t>
      </w:r>
    </w:p>
    <w:p>
      <w:pPr>
        <w:pStyle w:val="Heading2"/>
      </w:pPr>
      <w:r>
        <w:t>Measures and review triggers</w:t>
      </w:r>
    </w:p>
    <w:p>
      <w:pPr>
        <w:pStyle w:val="ListBullet"/>
      </w:pPr>
      <w:r>
        <w:t>Coverage</w:t>
      </w:r>
    </w:p>
    <w:p>
      <w:pPr>
        <w:pStyle w:val="ListBullet"/>
      </w:pPr>
      <w:r>
        <w:t>Time to remediate</w:t>
      </w:r>
    </w:p>
    <w:p>
      <w:pPr>
        <w:pStyle w:val="ListBullet"/>
      </w:pPr>
      <w:r>
        <w:t>Alert backlog</w:t>
      </w:r>
    </w:p>
    <w:p>
      <w:pPr>
        <w:pStyle w:val="ListBullet"/>
      </w:pPr>
      <w:r>
        <w:t>Repeat findings</w:t>
      </w:r>
    </w:p>
    <w:p>
      <w:r>
        <w:br w:type="page"/>
      </w:r>
    </w:p>
    <w:p>
      <w:pPr>
        <w:pStyle w:val="Heading1"/>
      </w:pPr>
      <w:r>
        <w:t>5. Incident Response and Communications</w:t>
      </w:r>
    </w:p>
    <w:p>
      <w:pPr>
        <w:pStyle w:val="Heading2"/>
      </w:pPr>
      <w:r>
        <w:t>Objective</w:t>
      </w:r>
    </w:p>
    <w:p>
      <w:r>
        <w:t>Prepare for, respond to and learn from security and availability incidents affecting system commitments.</w:t>
      </w:r>
    </w:p>
    <w:p>
      <w:pPr>
        <w:pStyle w:val="Heading2"/>
      </w:pPr>
      <w:r>
        <w:t>Policy requirements</w:t>
      </w:r>
    </w:p>
    <w:p>
      <w:pPr>
        <w:pStyle w:val="ListBullet"/>
      </w:pPr>
      <w:r>
        <w:t>Plans define roles, severity, escalation, customer/authority communication and evidence handling.</w:t>
      </w:r>
    </w:p>
    <w:p>
      <w:pPr>
        <w:pStyle w:val="ListBullet"/>
      </w:pPr>
      <w:r>
        <w:t>Incidents and exercises produce documented corrective actions.</w:t>
      </w:r>
    </w:p>
    <w:p>
      <w:pPr>
        <w:pStyle w:val="ListBullet"/>
      </w:pPr>
      <w:r>
        <w:t>Material events are evaluated against commitments and disclosure obligations.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Triage/classify.</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Contain and investigate.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Communicate through authorized roles.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Recover and monitor.</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Review cause and corrective action.</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Incident ticket/timeline</w:t>
      </w:r>
    </w:p>
    <w:p>
      <w:pPr>
        <w:pStyle w:val="ListBullet"/>
      </w:pPr>
      <w:r>
        <w:t>Communication approval</w:t>
      </w:r>
    </w:p>
    <w:p>
      <w:pPr>
        <w:pStyle w:val="ListBullet"/>
      </w:pPr>
      <w:r>
        <w:t>Evidence record</w:t>
      </w:r>
    </w:p>
    <w:p>
      <w:pPr>
        <w:pStyle w:val="ListBullet"/>
      </w:pPr>
      <w:r>
        <w:t>Post-incident review</w:t>
      </w:r>
    </w:p>
    <w:p>
      <w:pPr>
        <w:pStyle w:val="ListBullet"/>
      </w:pPr>
      <w:r>
        <w:t>Tabletop report</w:t>
      </w:r>
    </w:p>
    <w:p>
      <w:pPr>
        <w:pStyle w:val="Heading2"/>
      </w:pPr>
      <w:r>
        <w:t>Measures and review triggers</w:t>
      </w:r>
    </w:p>
    <w:p>
      <w:pPr>
        <w:pStyle w:val="ListBullet"/>
      </w:pPr>
      <w:r>
        <w:t>Detection/response time</w:t>
      </w:r>
    </w:p>
    <w:p>
      <w:pPr>
        <w:pStyle w:val="ListBullet"/>
      </w:pPr>
      <w:r>
        <w:t>Action aging</w:t>
      </w:r>
    </w:p>
    <w:p>
      <w:pPr>
        <w:pStyle w:val="ListBullet"/>
      </w:pPr>
      <w:r>
        <w:t>Repeat causes</w:t>
      </w:r>
    </w:p>
    <w:p>
      <w:pPr>
        <w:pStyle w:val="ListBullet"/>
      </w:pPr>
      <w:r>
        <w:t>Exercise completion</w:t>
      </w:r>
    </w:p>
    <w:p>
      <w:r>
        <w:br w:type="page"/>
      </w:r>
    </w:p>
    <w:p>
      <w:pPr>
        <w:pStyle w:val="Heading1"/>
      </w:pPr>
      <w:r>
        <w:t>6. Availability, Backup and Business Continuity</w:t>
      </w:r>
    </w:p>
    <w:p>
      <w:pPr>
        <w:pStyle w:val="Heading2"/>
      </w:pPr>
      <w:r>
        <w:t>Objective</w:t>
      </w:r>
    </w:p>
    <w:p>
      <w:r>
        <w:t>Protect service availability through capacity, resilience, backup, recovery and continuity practices aligned to commitments.</w:t>
      </w:r>
    </w:p>
    <w:p>
      <w:pPr>
        <w:pStyle w:val="Heading2"/>
      </w:pPr>
      <w:r>
        <w:t>Policy requirements</w:t>
      </w:r>
    </w:p>
    <w:p>
      <w:pPr>
        <w:pStyle w:val="ListBullet"/>
      </w:pPr>
      <w:r>
        <w:t>Recovery objectives and critical dependencies are approved.</w:t>
      </w:r>
    </w:p>
    <w:p>
      <w:pPr>
        <w:pStyle w:val="ListBullet"/>
      </w:pPr>
      <w:r>
        <w:t>Backup and recovery controls are monitored and tested.</w:t>
      </w:r>
    </w:p>
    <w:p>
      <w:pPr>
        <w:pStyle w:val="ListBullet"/>
      </w:pPr>
      <w:r>
        <w:t>Capacity, resilience and continuity exercises inform improvement.</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Define commitments/objectives.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Implement backup/resilience.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Monitor capacity and failures.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Test restore and recovery.</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Track improvements.</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SLA/commitments</w:t>
      </w:r>
    </w:p>
    <w:p>
      <w:pPr>
        <w:pStyle w:val="ListBullet"/>
      </w:pPr>
      <w:r>
        <w:t>Backup report</w:t>
      </w:r>
    </w:p>
    <w:p>
      <w:pPr>
        <w:pStyle w:val="ListBullet"/>
      </w:pPr>
      <w:r>
        <w:t>Capacity review</w:t>
      </w:r>
    </w:p>
    <w:p>
      <w:pPr>
        <w:pStyle w:val="ListBullet"/>
      </w:pPr>
      <w:r>
        <w:t>Recovery test</w:t>
      </w:r>
    </w:p>
    <w:p>
      <w:pPr>
        <w:pStyle w:val="ListBullet"/>
      </w:pPr>
      <w:r>
        <w:t>Continuity exercise</w:t>
      </w:r>
    </w:p>
    <w:p>
      <w:pPr>
        <w:pStyle w:val="Heading2"/>
      </w:pPr>
      <w:r>
        <w:t>Measures and review triggers</w:t>
      </w:r>
    </w:p>
    <w:p>
      <w:pPr>
        <w:pStyle w:val="ListBullet"/>
      </w:pPr>
      <w:r>
        <w:t>Availability against target</w:t>
      </w:r>
    </w:p>
    <w:p>
      <w:pPr>
        <w:pStyle w:val="ListBullet"/>
      </w:pPr>
      <w:r>
        <w:t>Restore success</w:t>
      </w:r>
    </w:p>
    <w:p>
      <w:pPr>
        <w:pStyle w:val="ListBullet"/>
      </w:pPr>
      <w:r>
        <w:t>Recovery objective performance</w:t>
      </w:r>
    </w:p>
    <w:p>
      <w:pPr>
        <w:pStyle w:val="ListBullet"/>
      </w:pPr>
      <w:r>
        <w:t>Overdue continuity actions</w:t>
      </w:r>
    </w:p>
    <w:p>
      <w:r>
        <w:br w:type="page"/>
      </w:r>
    </w:p>
    <w:p>
      <w:pPr>
        <w:pStyle w:val="Heading1"/>
      </w:pPr>
      <w:r>
        <w:t>7. Vendor Risk, Evidence and Control Monitoring</w:t>
      </w:r>
    </w:p>
    <w:p>
      <w:pPr>
        <w:pStyle w:val="Heading2"/>
      </w:pPr>
      <w:r>
        <w:t>Objective</w:t>
      </w:r>
    </w:p>
    <w:p>
      <w:r>
        <w:t>Manage subservice risk and maintain complete, accurate, timely evidence of control operation.</w:t>
      </w:r>
    </w:p>
    <w:p>
      <w:pPr>
        <w:pStyle w:val="Heading2"/>
      </w:pPr>
      <w:r>
        <w:t>Policy requirements</w:t>
      </w:r>
    </w:p>
    <w:p>
      <w:pPr>
        <w:pStyle w:val="ListBullet"/>
      </w:pPr>
      <w:r>
        <w:t>Vendor classification, due diligence, contracts and monitoring reflect risk and responsibility.</w:t>
      </w:r>
    </w:p>
    <w:p>
      <w:pPr>
        <w:pStyle w:val="ListBullet"/>
      </w:pPr>
      <w:r>
        <w:t>Evidence identifies population, period, preparer, reviewer and exceptions.</w:t>
      </w:r>
    </w:p>
    <w:p>
      <w:pPr>
        <w:pStyle w:val="ListBullet"/>
      </w:pPr>
      <w:r>
        <w:t>Control deficiencies are evaluated, corrected and communicated.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Classify vendor/control dependency.</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Perform due diligence and contracting.</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Collect recurring assurance.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Execute control and collect evidence.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Review exceptions and remediate.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Vendor register/assessment</w:t>
      </w:r>
    </w:p>
    <w:p>
      <w:pPr>
        <w:pStyle w:val="ListBullet"/>
      </w:pPr>
      <w:r>
        <w:t>Contracts/assurance reports</w:t>
      </w:r>
    </w:p>
    <w:p>
      <w:pPr>
        <w:pStyle w:val="ListBullet"/>
      </w:pPr>
      <w:r>
        <w:t>Control evidence</w:t>
      </w:r>
    </w:p>
    <w:p>
      <w:pPr>
        <w:pStyle w:val="ListBullet"/>
      </w:pPr>
      <w:r>
        <w:t>Reviewer sign-off</w:t>
      </w:r>
    </w:p>
    <w:p>
      <w:pPr>
        <w:pStyle w:val="ListBullet"/>
      </w:pPr>
      <w:r>
        <w:t>Deficiency tracker</w:t>
      </w:r>
    </w:p>
    <w:p>
      <w:pPr>
        <w:pStyle w:val="Heading2"/>
      </w:pPr>
      <w:r>
        <w:t>Measures and review triggers</w:t>
      </w:r>
    </w:p>
    <w:p>
      <w:pPr>
        <w:pStyle w:val="ListBullet"/>
      </w:pPr>
      <w:r>
        <w:t>Vendor reviews overdue</w:t>
      </w:r>
    </w:p>
    <w:p>
      <w:pPr>
        <w:pStyle w:val="ListBullet"/>
      </w:pPr>
      <w:r>
        <w:t>Evidence rework</w:t>
      </w:r>
    </w:p>
    <w:p>
      <w:pPr>
        <w:pStyle w:val="ListBullet"/>
      </w:pPr>
      <w:r>
        <w:t>Control exceptions</w:t>
      </w:r>
    </w:p>
    <w:p>
      <w:pPr>
        <w:pStyle w:val="ListBullet"/>
      </w:pPr>
      <w:r>
        <w:t>Deficiencies past due</w:t>
      </w:r>
    </w:p>
    <w:p>
      <w:pPr>
        <w:pStyle w:val="Heading1"/>
      </w:pPr>
      <w:r>
        <w:t>Policy exception form</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5083"/>
        <w:gridCol w:w="5083"/>
      </w:tblGrid>
      <w:tr>
        <w:tc>
          <w:tcPr>
            <w:tcW w:type="dxa" w:w="5083"/>
            <w:shd w:fill="183B56"/>
            <w:vAlign w:val="center"/>
          </w:tcPr>
          <w:p>
            <w:r>
              <w:rPr>
                <w:b/>
                <w:color w:val="FFFFFF"/>
                <w:sz w:val="18"/>
              </w:rPr>
              <w:t>Field</w:t>
            </w:r>
          </w:p>
        </w:tc>
        <w:tc>
          <w:tcPr>
            <w:tcW w:type="dxa" w:w="5083"/>
            <w:shd w:fill="183B56"/>
            <w:vAlign w:val="center"/>
          </w:tcPr>
          <w:p>
            <w:r>
              <w:rPr>
                <w:b/>
                <w:color w:val="FFFFFF"/>
                <w:sz w:val="18"/>
              </w:rPr>
              <w:t>Required information</w:t>
            </w:r>
          </w:p>
        </w:tc>
      </w:tr>
      <w:tr>
        <w:tc>
          <w:tcPr>
            <w:tcW w:type="dxa" w:w="5083"/>
            <w:vAlign w:val="center"/>
          </w:tcPr>
          <w:p>
            <w:pPr>
              <w:spacing w:after="40"/>
            </w:pPr>
            <w:r>
              <w:rPr>
                <w:color w:val="20313D"/>
                <w:sz w:val="17"/>
              </w:rPr>
              <w:t>Policy / requirement</w:t>
            </w:r>
          </w:p>
        </w:tc>
        <w:tc>
          <w:tcPr>
            <w:tcW w:type="dxa" w:w="5083"/>
            <w:vAlign w:val="center"/>
          </w:tcPr>
          <w:p>
            <w:pPr>
              <w:spacing w:after="40"/>
            </w:pPr>
            <w:r>
              <w:rPr>
                <w:color w:val="20313D"/>
                <w:sz w:val="17"/>
              </w:rPr>
              <w:t>[Name and section]</w:t>
            </w:r>
          </w:p>
        </w:tc>
      </w:tr>
      <w:tr>
        <w:tc>
          <w:tcPr>
            <w:tcW w:type="dxa" w:w="5083"/>
            <w:vAlign w:val="center"/>
            <w:shd w:fill="F4FAFA"/>
          </w:tcPr>
          <w:p>
            <w:pPr>
              <w:spacing w:after="40"/>
            </w:pPr>
            <w:r>
              <w:rPr>
                <w:color w:val="20313D"/>
                <w:sz w:val="17"/>
              </w:rPr>
              <w:t>Business reason</w:t>
            </w:r>
          </w:p>
        </w:tc>
        <w:tc>
          <w:tcPr>
            <w:tcW w:type="dxa" w:w="5083"/>
            <w:vAlign w:val="center"/>
            <w:shd w:fill="F4FAFA"/>
          </w:tcPr>
          <w:p>
            <w:pPr>
              <w:spacing w:after="40"/>
            </w:pPr>
            <w:r>
              <w:rPr>
                <w:color w:val="20313D"/>
                <w:sz w:val="17"/>
              </w:rPr>
              <w:t>[Why the standard process cannot be followed]</w:t>
            </w:r>
          </w:p>
        </w:tc>
      </w:tr>
      <w:tr>
        <w:tc>
          <w:tcPr>
            <w:tcW w:type="dxa" w:w="5083"/>
            <w:vAlign w:val="center"/>
          </w:tcPr>
          <w:p>
            <w:pPr>
              <w:spacing w:after="40"/>
            </w:pPr>
            <w:r>
              <w:rPr>
                <w:color w:val="20313D"/>
                <w:sz w:val="17"/>
              </w:rPr>
              <w:t>Risk</w:t>
            </w:r>
          </w:p>
        </w:tc>
        <w:tc>
          <w:tcPr>
            <w:tcW w:type="dxa" w:w="5083"/>
            <w:vAlign w:val="center"/>
          </w:tcPr>
          <w:p>
            <w:pPr>
              <w:spacing w:after="40"/>
            </w:pPr>
            <w:r>
              <w:rPr>
                <w:color w:val="20313D"/>
                <w:sz w:val="17"/>
              </w:rPr>
              <w:t>[Threat, likelihood, impact and affected data/service]</w:t>
            </w:r>
          </w:p>
        </w:tc>
      </w:tr>
      <w:tr>
        <w:tc>
          <w:tcPr>
            <w:tcW w:type="dxa" w:w="5083"/>
            <w:vAlign w:val="center"/>
            <w:shd w:fill="F4FAFA"/>
          </w:tcPr>
          <w:p>
            <w:pPr>
              <w:spacing w:after="40"/>
            </w:pPr>
            <w:r>
              <w:rPr>
                <w:color w:val="20313D"/>
                <w:sz w:val="17"/>
              </w:rPr>
              <w:t>Compensating safeguards</w:t>
            </w:r>
          </w:p>
        </w:tc>
        <w:tc>
          <w:tcPr>
            <w:tcW w:type="dxa" w:w="5083"/>
            <w:vAlign w:val="center"/>
            <w:shd w:fill="F4FAFA"/>
          </w:tcPr>
          <w:p>
            <w:pPr>
              <w:spacing w:after="40"/>
            </w:pPr>
            <w:r>
              <w:rPr>
                <w:color w:val="20313D"/>
                <w:sz w:val="17"/>
              </w:rPr>
              <w:t>[What reduces the risk during the exception]</w:t>
            </w:r>
          </w:p>
        </w:tc>
      </w:tr>
      <w:tr>
        <w:tc>
          <w:tcPr>
            <w:tcW w:type="dxa" w:w="5083"/>
            <w:vAlign w:val="center"/>
          </w:tcPr>
          <w:p>
            <w:pPr>
              <w:spacing w:after="40"/>
            </w:pPr>
            <w:r>
              <w:rPr>
                <w:color w:val="20313D"/>
                <w:sz w:val="17"/>
              </w:rPr>
              <w:t>Owner and expiration</w:t>
            </w:r>
          </w:p>
        </w:tc>
        <w:tc>
          <w:tcPr>
            <w:tcW w:type="dxa" w:w="5083"/>
            <w:vAlign w:val="center"/>
          </w:tcPr>
          <w:p>
            <w:pPr>
              <w:spacing w:after="40"/>
            </w:pPr>
            <w:r>
              <w:rPr>
                <w:color w:val="20313D"/>
                <w:sz w:val="17"/>
              </w:rPr>
              <w:t>[Named owner and end date]</w:t>
            </w:r>
          </w:p>
        </w:tc>
      </w:tr>
      <w:tr>
        <w:tc>
          <w:tcPr>
            <w:tcW w:type="dxa" w:w="5083"/>
            <w:vAlign w:val="center"/>
            <w:shd w:fill="F4FAFA"/>
          </w:tcPr>
          <w:p>
            <w:pPr>
              <w:spacing w:after="40"/>
            </w:pPr>
            <w:r>
              <w:rPr>
                <w:color w:val="20313D"/>
                <w:sz w:val="17"/>
              </w:rPr>
              <w:t>Approval</w:t>
            </w:r>
          </w:p>
        </w:tc>
        <w:tc>
          <w:tcPr>
            <w:tcW w:type="dxa" w:w="5083"/>
            <w:vAlign w:val="center"/>
            <w:shd w:fill="F4FAFA"/>
          </w:tcPr>
          <w:p>
            <w:pPr>
              <w:spacing w:after="40"/>
            </w:pPr>
            <w:r>
              <w:rPr>
                <w:color w:val="20313D"/>
                <w:sz w:val="17"/>
              </w:rPr>
              <w:t>[Authorized approver and date]</w:t>
            </w:r>
          </w:p>
        </w:tc>
      </w:tr>
    </w:tbl>
    <w:p/>
    <w:p>
      <w:pPr>
        <w:pStyle w:val="Heading1"/>
      </w:pPr>
      <w:r>
        <w:t>Implementation and evidence checklist</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541"/>
        <w:gridCol w:w="2541"/>
        <w:gridCol w:w="2541"/>
        <w:gridCol w:w="2541"/>
      </w:tblGrid>
      <w:tr>
        <w:tc>
          <w:tcPr>
            <w:tcW w:type="dxa" w:w="2541"/>
            <w:shd w:fill="183B56"/>
            <w:vAlign w:val="center"/>
          </w:tcPr>
          <w:p>
            <w:r>
              <w:rPr>
                <w:b/>
                <w:color w:val="FFFFFF"/>
                <w:sz w:val="18"/>
              </w:rPr>
              <w:t>Checkpoint</w:t>
            </w:r>
          </w:p>
        </w:tc>
        <w:tc>
          <w:tcPr>
            <w:tcW w:type="dxa" w:w="2541"/>
            <w:shd w:fill="183B56"/>
            <w:vAlign w:val="center"/>
          </w:tcPr>
          <w:p>
            <w:r>
              <w:rPr>
                <w:b/>
                <w:color w:val="FFFFFF"/>
                <w:sz w:val="18"/>
              </w:rPr>
              <w:t>Status</w:t>
            </w:r>
          </w:p>
        </w:tc>
        <w:tc>
          <w:tcPr>
            <w:tcW w:type="dxa" w:w="2541"/>
            <w:shd w:fill="183B56"/>
            <w:vAlign w:val="center"/>
          </w:tcPr>
          <w:p>
            <w:r>
              <w:rPr>
                <w:b/>
                <w:color w:val="FFFFFF"/>
                <w:sz w:val="18"/>
              </w:rPr>
              <w:t>Owner</w:t>
            </w:r>
          </w:p>
        </w:tc>
        <w:tc>
          <w:tcPr>
            <w:tcW w:type="dxa" w:w="2541"/>
            <w:shd w:fill="183B56"/>
            <w:vAlign w:val="center"/>
          </w:tcPr>
          <w:p>
            <w:r>
              <w:rPr>
                <w:b/>
                <w:color w:val="FFFFFF"/>
                <w:sz w:val="18"/>
              </w:rPr>
              <w:t>Evidence / action</w:t>
            </w:r>
          </w:p>
        </w:tc>
      </w:tr>
      <w:tr>
        <w:tc>
          <w:tcPr>
            <w:tcW w:type="dxa" w:w="2541"/>
            <w:vAlign w:val="center"/>
          </w:tcPr>
          <w:p>
            <w:pPr>
              <w:spacing w:after="40"/>
            </w:pPr>
            <w:r>
              <w:rPr>
                <w:color w:val="20313D"/>
                <w:sz w:val="17"/>
              </w:rPr>
              <w:t>Scope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Roles assigned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Policies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Procedures implemented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Workforce trained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Technical settings validated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Evidence collected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Exceptions reviewed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Exercise completed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Management review completed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bl>
    <w:p/>
    <w:p>
      <w:pPr>
        <w:pStyle w:val="Heading1"/>
      </w:pPr>
      <w:r>
        <w:t>Important use notice</w:t>
      </w:r>
    </w:p>
    <w:p>
      <w:r>
        <w:t>This editable SOC 2 sample is an educational starting point. It must be tailored to the organization, its legal and contractual obligations, technology, risk, workforce and actual practices. It is not legal advice, an audit opinion, certification, attestation, or a guarantee of compliance. Validate current requirements and obtain qualified legal, privacy, contracting and assessor guidance where appropriate.</w:t>
      </w:r>
    </w:p>
    <w:sectPr w:rsidR="00FC693F" w:rsidRPr="0006063C" w:rsidSect="00034616">
      <w:headerReference w:type="default" r:id="rId9"/>
      <w:footerReference w:type="default" r:id="rId10"/>
      <w:pgSz w:w="12240" w:h="15840"/>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E78"/>
        <w:sz w:val="15"/>
      </w:rPr>
      <w:t>Starter template • Customize to your organization and validate against current authoritative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D8A8A"/>
        <w:sz w:val="16"/>
      </w:rPr>
      <w:t>SENTINELBRIDGE ADVISORY   /   SAMPLE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0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B56"/>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D8A8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3B56"/>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