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HIPAA Security Policy Suite</w:t>
      </w:r>
    </w:p>
    <w:p>
      <w:r>
        <w:rPr>
          <w:b/>
          <w:color w:val="1D8A8A"/>
          <w:sz w:val="22"/>
        </w:rPr>
        <w:t>HIPAA SECURITY RULE</w:t>
      </w:r>
    </w:p>
    <w:p>
      <w:pPr>
        <w:pStyle w:val="Subtitle"/>
      </w:pPr>
      <w:r>
        <w:t>Detailed sample policies for organizing ePHI risk management, safeguards, incident readiness and resilience.</w:t>
      </w:r>
    </w:p>
    <w:p>
      <w:r>
        <w:t>Organization: __________________________________________</w:t>
      </w:r>
    </w:p>
    <w:p>
      <w:r>
        <w:t>Owner: ____________________   Version: ______   Review date: __________</w:t>
      </w:r>
    </w:p>
    <w:tbl>
      <w:tblPr>
        <w:tblW w:type="auto" w:w="0"/>
        <w:tblLook w:firstColumn="1" w:firstRow="1" w:lastColumn="0" w:lastRow="0" w:noHBand="0" w:noVBand="1" w:val="04A0"/>
      </w:tblPr>
      <w:tblGrid>
        <w:gridCol w:w="10166"/>
      </w:tblGrid>
      <w:tr>
        <w:tc>
          <w:tcPr>
            <w:tcW w:type="dxa" w:w="10166"/>
            <w:shd w:fill="EAF6F5"/>
          </w:tcPr>
          <w:p>
            <w:r>
              <w:rPr>
                <w:color w:val="20313D"/>
                <w:sz w:val="18"/>
              </w:rPr>
              <w:t>How to use this sample</w:t>
              <w:br/>
              <w:t>Replace bracketed prompts, align statements with actual practices, assign accountable owners, and attach evidence. This sample is educational—not legal advice, an attestation, or evidence of certification. Requirements and interpretations change; verify current authoritative sources and contractual obligations.</w:t>
            </w:r>
          </w:p>
        </w:tc>
      </w:tr>
    </w:tbl>
    <w:p>
      <w:r>
        <w:br w:type="page"/>
      </w:r>
    </w:p>
    <w:p>
      <w:pPr>
        <w:pStyle w:val="Heading1"/>
      </w:pPr>
      <w:r>
        <w:t>Template purpose</w:t>
      </w:r>
    </w:p>
    <w:p>
      <w:r>
        <w:t>Provide a practical policy baseline for covered entities and business associates to tailor around their role, ePHI environment and risk analysis.</w:t>
      </w:r>
    </w:p>
    <w:p>
      <w:pPr>
        <w:pStyle w:val="Heading1"/>
      </w:pPr>
      <w:r>
        <w:t>Implementation instructions</w:t>
      </w:r>
    </w:p>
    <w:p>
      <w:pPr>
        <w:pStyle w:val="ListBullet"/>
      </w:pPr>
      <w:r>
        <w:t>Replace every bracketed prompt with approved organization-specific information.</w:t>
      </w:r>
    </w:p>
    <w:p>
      <w:pPr>
        <w:pStyle w:val="ListBullet"/>
      </w:pPr>
      <w:r>
        <w:t>Reconcile the policy with contracts, law, architecture, procedures and actual control operation.</w:t>
      </w:r>
    </w:p>
    <w:p>
      <w:pPr>
        <w:pStyle w:val="ListBullet"/>
      </w:pPr>
      <w:r>
        <w:t>Assign named accountable owners and define evidence, frequency and review expectations.</w:t>
      </w:r>
    </w:p>
    <w:p>
      <w:pPr>
        <w:pStyle w:val="ListBullet"/>
      </w:pPr>
      <w:r>
        <w:t>Document gaps in an approved corrective-action or risk-treatment process rather than overstating implementation.</w:t>
      </w:r>
    </w:p>
    <w:p>
      <w:pPr>
        <w:pStyle w:val="ListBullet"/>
      </w:pPr>
      <w:r>
        <w:t>Obtain management approval, communicate requirements and review after material change.</w:t>
      </w:r>
    </w:p>
    <w:p>
      <w:pPr>
        <w:pStyle w:val="Heading1"/>
      </w:pPr>
      <w:r>
        <w:t>Scope and applicability record</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Scope question</w:t>
            </w:r>
          </w:p>
        </w:tc>
        <w:tc>
          <w:tcPr>
            <w:tcW w:type="dxa" w:w="3389"/>
            <w:shd w:fill="183B56"/>
            <w:vAlign w:val="center"/>
          </w:tcPr>
          <w:p>
            <w:r>
              <w:rPr>
                <w:b/>
                <w:color w:val="FFFFFF"/>
                <w:sz w:val="18"/>
              </w:rPr>
              <w:t>Organization response</w:t>
            </w:r>
          </w:p>
        </w:tc>
        <w:tc>
          <w:tcPr>
            <w:tcW w:type="dxa" w:w="3389"/>
            <w:shd w:fill="183B56"/>
            <w:vAlign w:val="center"/>
          </w:tcPr>
          <w:p>
            <w:r>
              <w:rPr>
                <w:b/>
                <w:color w:val="FFFFFF"/>
                <w:sz w:val="18"/>
              </w:rPr>
              <w:t>Owner/evidence</w:t>
            </w:r>
          </w:p>
        </w:tc>
      </w:tr>
      <w:tr>
        <w:tc>
          <w:tcPr>
            <w:tcW w:type="dxa" w:w="3389"/>
            <w:vAlign w:val="center"/>
          </w:tcPr>
          <w:p>
            <w:pPr>
              <w:spacing w:after="40"/>
            </w:pPr>
            <w:r>
              <w:rPr>
                <w:color w:val="20313D"/>
                <w:sz w:val="17"/>
              </w:rPr>
              <w:t>Organization role</w:t>
            </w:r>
          </w:p>
        </w:tc>
        <w:tc>
          <w:tcPr>
            <w:tcW w:type="dxa" w:w="3389"/>
            <w:vAlign w:val="center"/>
          </w:tcPr>
          <w:p>
            <w:pPr>
              <w:spacing w:after="40"/>
            </w:pPr>
            <w:r>
              <w:rPr>
                <w:color w:val="20313D"/>
                <w:sz w:val="17"/>
              </w:rPr>
              <w:t>[Covered entity / business associate / hybrid]</w:t>
            </w:r>
          </w:p>
        </w:tc>
        <w:tc>
          <w:tcPr>
            <w:tcW w:type="dxa" w:w="3389"/>
            <w:vAlign w:val="center"/>
          </w:tcPr>
          <w:p>
            <w:pPr>
              <w:spacing w:after="40"/>
            </w:pPr>
            <w:r>
              <w:rPr>
                <w:color w:val="20313D"/>
                <w:sz w:val="17"/>
              </w:rPr>
              <w:t>[Legal/privacy determination]</w:t>
            </w:r>
          </w:p>
        </w:tc>
      </w:tr>
      <w:tr>
        <w:tc>
          <w:tcPr>
            <w:tcW w:type="dxa" w:w="3389"/>
            <w:vAlign w:val="center"/>
            <w:shd w:fill="F4FAFA"/>
          </w:tcPr>
          <w:p>
            <w:pPr>
              <w:spacing w:after="40"/>
            </w:pPr>
            <w:r>
              <w:rPr>
                <w:color w:val="20313D"/>
                <w:sz w:val="17"/>
              </w:rPr>
              <w:t>ePHI scope</w:t>
            </w:r>
          </w:p>
        </w:tc>
        <w:tc>
          <w:tcPr>
            <w:tcW w:type="dxa" w:w="3389"/>
            <w:vAlign w:val="center"/>
            <w:shd w:fill="F4FAFA"/>
          </w:tcPr>
          <w:p>
            <w:pPr>
              <w:spacing w:after="40"/>
            </w:pPr>
            <w:r>
              <w:rPr>
                <w:color w:val="20313D"/>
                <w:sz w:val="17"/>
              </w:rPr>
              <w:t>[Systems, processes, workforce, locations]</w:t>
            </w:r>
          </w:p>
        </w:tc>
        <w:tc>
          <w:tcPr>
            <w:tcW w:type="dxa" w:w="3389"/>
            <w:vAlign w:val="center"/>
            <w:shd w:fill="F4FAFA"/>
          </w:tcPr>
          <w:p>
            <w:pPr>
              <w:spacing w:after="40"/>
            </w:pPr>
            <w:r>
              <w:rPr>
                <w:color w:val="20313D"/>
                <w:sz w:val="17"/>
              </w:rPr>
              <w:t>[Inventory/data flow]</w:t>
            </w:r>
          </w:p>
        </w:tc>
      </w:tr>
      <w:tr>
        <w:tc>
          <w:tcPr>
            <w:tcW w:type="dxa" w:w="3389"/>
            <w:vAlign w:val="center"/>
          </w:tcPr>
          <w:p>
            <w:pPr>
              <w:spacing w:after="40"/>
            </w:pPr>
            <w:r>
              <w:rPr>
                <w:color w:val="20313D"/>
                <w:sz w:val="17"/>
              </w:rPr>
              <w:t>Business associates</w:t>
            </w:r>
          </w:p>
        </w:tc>
        <w:tc>
          <w:tcPr>
            <w:tcW w:type="dxa" w:w="3389"/>
            <w:vAlign w:val="center"/>
          </w:tcPr>
          <w:p>
            <w:pPr>
              <w:spacing w:after="40"/>
            </w:pPr>
            <w:r>
              <w:rPr>
                <w:color w:val="20313D"/>
                <w:sz w:val="17"/>
              </w:rPr>
              <w:t>[Vendors creating, receiving, maintaining or transmitting PHI]</w:t>
            </w:r>
          </w:p>
        </w:tc>
        <w:tc>
          <w:tcPr>
            <w:tcW w:type="dxa" w:w="3389"/>
            <w:vAlign w:val="center"/>
          </w:tcPr>
          <w:p>
            <w:pPr>
              <w:spacing w:after="40"/>
            </w:pPr>
            <w:r>
              <w:rPr>
                <w:color w:val="20313D"/>
                <w:sz w:val="17"/>
              </w:rPr>
              <w:t>[BAA/vendor register]</w:t>
            </w:r>
          </w:p>
        </w:tc>
      </w:tr>
      <w:tr>
        <w:tc>
          <w:tcPr>
            <w:tcW w:type="dxa" w:w="3389"/>
            <w:vAlign w:val="center"/>
            <w:shd w:fill="F4FAFA"/>
          </w:tcPr>
          <w:p>
            <w:pPr>
              <w:spacing w:after="40"/>
            </w:pPr>
            <w:r>
              <w:rPr>
                <w:color w:val="20313D"/>
                <w:sz w:val="17"/>
              </w:rPr>
              <w:t>Material commitments</w:t>
            </w:r>
          </w:p>
        </w:tc>
        <w:tc>
          <w:tcPr>
            <w:tcW w:type="dxa" w:w="3389"/>
            <w:vAlign w:val="center"/>
            <w:shd w:fill="F4FAFA"/>
          </w:tcPr>
          <w:p>
            <w:pPr>
              <w:spacing w:after="40"/>
            </w:pPr>
            <w:r>
              <w:rPr>
                <w:color w:val="20313D"/>
                <w:sz w:val="17"/>
              </w:rPr>
              <w:t>[Contracts, notices, customer obligations]</w:t>
            </w:r>
          </w:p>
        </w:tc>
        <w:tc>
          <w:tcPr>
            <w:tcW w:type="dxa" w:w="3389"/>
            <w:vAlign w:val="center"/>
            <w:shd w:fill="F4FAFA"/>
          </w:tcPr>
          <w:p>
            <w:pPr>
              <w:spacing w:after="40"/>
            </w:pPr>
            <w:r>
              <w:rPr>
                <w:color w:val="20313D"/>
                <w:sz w:val="17"/>
              </w:rPr>
              <w:t>[Requirement register]</w:t>
            </w:r>
          </w:p>
        </w:tc>
      </w:tr>
    </w:tbl>
    <w:p/>
    <w:p>
      <w:pPr>
        <w:pStyle w:val="Heading1"/>
      </w:pPr>
      <w:r>
        <w:t>Common governance rules</w:t>
      </w:r>
    </w:p>
    <w:p>
      <w:pPr>
        <w:pStyle w:val="ListBullet"/>
      </w:pPr>
      <w:r>
        <w:t>Policies must describe actual operations; aspirational language is converted into an approved implementation plan.</w:t>
      </w:r>
    </w:p>
    <w:p>
      <w:pPr>
        <w:pStyle w:val="ListBullet"/>
      </w:pPr>
      <w:r>
        <w:t>Exceptions require a business justification, risk evaluation, compensating safeguards, owner, approval and expiration date.</w:t>
      </w:r>
    </w:p>
    <w:p>
      <w:pPr>
        <w:pStyle w:val="ListBullet"/>
      </w:pPr>
      <w:r>
        <w:t>Control owners maintain evidence for the relevant review or examination period and protect evidence from unauthorized change.</w:t>
      </w:r>
    </w:p>
    <w:p>
      <w:pPr>
        <w:pStyle w:val="ListBullet"/>
      </w:pPr>
      <w:r>
        <w:t>Material changes, incidents, audit findings and regulatory updates trigger an out-of-cycle review.</w:t>
      </w:r>
    </w:p>
    <w:p>
      <w:pPr>
        <w:pStyle w:val="ListBullet"/>
      </w:pPr>
      <w:r>
        <w:t>Management reviews program performance, overdue actions, accepted risk and resource constraints on a defined cadence.</w:t>
      </w:r>
    </w:p>
    <w:p>
      <w:pPr>
        <w:pStyle w:val="Heading1"/>
      </w:pPr>
      <w:r>
        <w:t>Document governance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Role</w:t>
            </w:r>
          </w:p>
        </w:tc>
        <w:tc>
          <w:tcPr>
            <w:tcW w:type="dxa" w:w="3389"/>
            <w:shd w:fill="183B56"/>
            <w:vAlign w:val="center"/>
          </w:tcPr>
          <w:p>
            <w:r>
              <w:rPr>
                <w:b/>
                <w:color w:val="FFFFFF"/>
                <w:sz w:val="18"/>
              </w:rPr>
              <w:t>Named owner</w:t>
            </w:r>
          </w:p>
        </w:tc>
        <w:tc>
          <w:tcPr>
            <w:tcW w:type="dxa" w:w="3389"/>
            <w:shd w:fill="183B56"/>
            <w:vAlign w:val="center"/>
          </w:tcPr>
          <w:p>
            <w:r>
              <w:rPr>
                <w:b/>
                <w:color w:val="FFFFFF"/>
                <w:sz w:val="18"/>
              </w:rPr>
              <w:t>Accountability</w:t>
            </w:r>
          </w:p>
        </w:tc>
      </w:tr>
      <w:tr>
        <w:tc>
          <w:tcPr>
            <w:tcW w:type="dxa" w:w="3389"/>
            <w:vAlign w:val="center"/>
          </w:tcPr>
          <w:p>
            <w:pPr>
              <w:spacing w:after="40"/>
            </w:pPr>
            <w:r>
              <w:rPr>
                <w:color w:val="20313D"/>
                <w:sz w:val="17"/>
              </w:rPr>
              <w:t>Executive sponsor</w:t>
            </w:r>
          </w:p>
        </w:tc>
        <w:tc>
          <w:tcPr>
            <w:tcW w:type="dxa" w:w="3389"/>
            <w:vAlign w:val="center"/>
          </w:tcPr>
          <w:p>
            <w:pPr>
              <w:spacing w:after="40"/>
            </w:pPr>
            <w:r>
              <w:rPr>
                <w:color w:val="20313D"/>
                <w:sz w:val="17"/>
              </w:rPr>
              <w:t>[Name / title]</w:t>
            </w:r>
          </w:p>
        </w:tc>
        <w:tc>
          <w:tcPr>
            <w:tcW w:type="dxa" w:w="3389"/>
            <w:vAlign w:val="center"/>
          </w:tcPr>
          <w:p>
            <w:pPr>
              <w:spacing w:after="40"/>
            </w:pPr>
            <w:r>
              <w:rPr>
                <w:color w:val="20313D"/>
                <w:sz w:val="17"/>
              </w:rPr>
              <w:t>Approves scope, resources, risk acceptance and material changes.</w:t>
            </w:r>
          </w:p>
        </w:tc>
      </w:tr>
      <w:tr>
        <w:tc>
          <w:tcPr>
            <w:tcW w:type="dxa" w:w="3389"/>
            <w:vAlign w:val="center"/>
            <w:shd w:fill="F4FAFA"/>
          </w:tcPr>
          <w:p>
            <w:pPr>
              <w:spacing w:after="40"/>
            </w:pPr>
            <w:r>
              <w:rPr>
                <w:color w:val="20313D"/>
                <w:sz w:val="17"/>
              </w:rPr>
              <w:t>Program owner</w:t>
            </w:r>
          </w:p>
        </w:tc>
        <w:tc>
          <w:tcPr>
            <w:tcW w:type="dxa" w:w="3389"/>
            <w:vAlign w:val="center"/>
            <w:shd w:fill="F4FAFA"/>
          </w:tcPr>
          <w:p>
            <w:pPr>
              <w:spacing w:after="40"/>
            </w:pPr>
            <w:r>
              <w:rPr>
                <w:color w:val="20313D"/>
                <w:sz w:val="17"/>
              </w:rPr>
              <w:t>[Name / title]</w:t>
            </w:r>
          </w:p>
        </w:tc>
        <w:tc>
          <w:tcPr>
            <w:tcW w:type="dxa" w:w="3389"/>
            <w:vAlign w:val="center"/>
            <w:shd w:fill="F4FAFA"/>
          </w:tcPr>
          <w:p>
            <w:pPr>
              <w:spacing w:after="40"/>
            </w:pPr>
            <w:r>
              <w:rPr>
                <w:color w:val="20313D"/>
                <w:sz w:val="17"/>
              </w:rPr>
              <w:t>Coordinates implementation, evidence, reviews and reporting.</w:t>
            </w:r>
          </w:p>
        </w:tc>
      </w:tr>
      <w:tr>
        <w:tc>
          <w:tcPr>
            <w:tcW w:type="dxa" w:w="3389"/>
            <w:vAlign w:val="center"/>
          </w:tcPr>
          <w:p>
            <w:pPr>
              <w:spacing w:after="40"/>
            </w:pPr>
            <w:r>
              <w:rPr>
                <w:color w:val="20313D"/>
                <w:sz w:val="17"/>
              </w:rPr>
              <w:t>Control owners</w:t>
            </w:r>
          </w:p>
        </w:tc>
        <w:tc>
          <w:tcPr>
            <w:tcW w:type="dxa" w:w="3389"/>
            <w:vAlign w:val="center"/>
          </w:tcPr>
          <w:p>
            <w:pPr>
              <w:spacing w:after="40"/>
            </w:pPr>
            <w:r>
              <w:rPr>
                <w:color w:val="20313D"/>
                <w:sz w:val="17"/>
              </w:rPr>
              <w:t>[Functions / names]</w:t>
            </w:r>
          </w:p>
        </w:tc>
        <w:tc>
          <w:tcPr>
            <w:tcW w:type="dxa" w:w="3389"/>
            <w:vAlign w:val="center"/>
          </w:tcPr>
          <w:p>
            <w:pPr>
              <w:spacing w:after="40"/>
            </w:pPr>
            <w:r>
              <w:rPr>
                <w:color w:val="20313D"/>
                <w:sz w:val="17"/>
              </w:rPr>
              <w:t>Operate assigned controls and maintain accurate evidence.</w:t>
            </w:r>
          </w:p>
        </w:tc>
      </w:tr>
      <w:tr>
        <w:tc>
          <w:tcPr>
            <w:tcW w:type="dxa" w:w="3389"/>
            <w:vAlign w:val="center"/>
            <w:shd w:fill="F4FAFA"/>
          </w:tcPr>
          <w:p>
            <w:pPr>
              <w:spacing w:after="40"/>
            </w:pPr>
            <w:r>
              <w:rPr>
                <w:color w:val="20313D"/>
                <w:sz w:val="17"/>
              </w:rPr>
              <w:t>Independent reviewer</w:t>
            </w:r>
          </w:p>
        </w:tc>
        <w:tc>
          <w:tcPr>
            <w:tcW w:type="dxa" w:w="3389"/>
            <w:vAlign w:val="center"/>
            <w:shd w:fill="F4FAFA"/>
          </w:tcPr>
          <w:p>
            <w:pPr>
              <w:spacing w:after="40"/>
            </w:pPr>
            <w:r>
              <w:rPr>
                <w:color w:val="20313D"/>
                <w:sz w:val="17"/>
              </w:rPr>
              <w:t>[Name / provider]</w:t>
            </w:r>
          </w:p>
        </w:tc>
        <w:tc>
          <w:tcPr>
            <w:tcW w:type="dxa" w:w="3389"/>
            <w:vAlign w:val="center"/>
            <w:shd w:fill="F4FAFA"/>
          </w:tcPr>
          <w:p>
            <w:pPr>
              <w:spacing w:after="40"/>
            </w:pPr>
            <w:r>
              <w:rPr>
                <w:color w:val="20313D"/>
                <w:sz w:val="17"/>
              </w:rPr>
              <w:t>Challenges completeness and tests readiness where appropriate.</w:t>
            </w:r>
          </w:p>
        </w:tc>
      </w:tr>
    </w:tbl>
    <w:p/>
    <w:p>
      <w:pPr>
        <w:pStyle w:val="Heading2"/>
      </w:pPr>
      <w:r>
        <w:t>Approval and revision history</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2033"/>
        <w:gridCol w:w="2033"/>
        <w:gridCol w:w="2033"/>
        <w:gridCol w:w="2033"/>
        <w:gridCol w:w="2033"/>
      </w:tblGrid>
      <w:tr>
        <w:tc>
          <w:tcPr>
            <w:tcW w:type="dxa" w:w="2033"/>
            <w:shd w:fill="183B56"/>
            <w:vAlign w:val="center"/>
          </w:tcPr>
          <w:p>
            <w:r>
              <w:rPr>
                <w:b/>
                <w:color w:val="FFFFFF"/>
                <w:sz w:val="18"/>
              </w:rPr>
              <w:t>Version</w:t>
            </w:r>
          </w:p>
        </w:tc>
        <w:tc>
          <w:tcPr>
            <w:tcW w:type="dxa" w:w="2033"/>
            <w:shd w:fill="183B56"/>
            <w:vAlign w:val="center"/>
          </w:tcPr>
          <w:p>
            <w:r>
              <w:rPr>
                <w:b/>
                <w:color w:val="FFFFFF"/>
                <w:sz w:val="18"/>
              </w:rPr>
              <w:t>Date</w:t>
            </w:r>
          </w:p>
        </w:tc>
        <w:tc>
          <w:tcPr>
            <w:tcW w:type="dxa" w:w="2033"/>
            <w:shd w:fill="183B56"/>
            <w:vAlign w:val="center"/>
          </w:tcPr>
          <w:p>
            <w:r>
              <w:rPr>
                <w:b/>
                <w:color w:val="FFFFFF"/>
                <w:sz w:val="18"/>
              </w:rPr>
              <w:t>Change</w:t>
            </w:r>
          </w:p>
        </w:tc>
        <w:tc>
          <w:tcPr>
            <w:tcW w:type="dxa" w:w="2033"/>
            <w:shd w:fill="183B56"/>
            <w:vAlign w:val="center"/>
          </w:tcPr>
          <w:p>
            <w:r>
              <w:rPr>
                <w:b/>
                <w:color w:val="FFFFFF"/>
                <w:sz w:val="18"/>
              </w:rPr>
              <w:t>Author</w:t>
            </w:r>
          </w:p>
        </w:tc>
        <w:tc>
          <w:tcPr>
            <w:tcW w:type="dxa" w:w="2033"/>
            <w:shd w:fill="183B56"/>
            <w:vAlign w:val="center"/>
          </w:tcPr>
          <w:p>
            <w:r>
              <w:rPr>
                <w:b/>
                <w:color w:val="FFFFFF"/>
                <w:sz w:val="18"/>
              </w:rPr>
              <w:t>Approver</w:t>
            </w:r>
          </w:p>
        </w:tc>
      </w:tr>
      <w:tr>
        <w:tc>
          <w:tcPr>
            <w:tcW w:type="dxa" w:w="2033"/>
            <w:vAlign w:val="center"/>
          </w:tcPr>
          <w:p>
            <w:pPr>
              <w:spacing w:after="40"/>
            </w:pPr>
            <w:r>
              <w:rPr>
                <w:color w:val="20313D"/>
                <w:sz w:val="17"/>
              </w:rPr>
              <w:t>0.1</w:t>
            </w:r>
          </w:p>
        </w:tc>
        <w:tc>
          <w:tcPr>
            <w:tcW w:type="dxa" w:w="2033"/>
            <w:vAlign w:val="center"/>
          </w:tcPr>
          <w:p>
            <w:pPr>
              <w:spacing w:after="40"/>
            </w:pPr>
            <w:r>
              <w:rPr>
                <w:color w:val="20313D"/>
                <w:sz w:val="17"/>
              </w:rPr>
              <w:t>[Date]</w:t>
            </w:r>
          </w:p>
        </w:tc>
        <w:tc>
          <w:tcPr>
            <w:tcW w:type="dxa" w:w="2033"/>
            <w:vAlign w:val="center"/>
          </w:tcPr>
          <w:p>
            <w:pPr>
              <w:spacing w:after="40"/>
            </w:pPr>
            <w:r>
              <w:rPr>
                <w:color w:val="20313D"/>
                <w:sz w:val="17"/>
              </w:rPr>
              <w:t>Initial working draft</w:t>
            </w:r>
          </w:p>
        </w:tc>
        <w:tc>
          <w:tcPr>
            <w:tcW w:type="dxa" w:w="2033"/>
            <w:vAlign w:val="center"/>
          </w:tcPr>
          <w:p>
            <w:pPr>
              <w:spacing w:after="40"/>
            </w:pPr>
            <w:r>
              <w:rPr>
                <w:color w:val="20313D"/>
                <w:sz w:val="17"/>
              </w:rPr>
              <w:t>[Name]</w:t>
            </w:r>
          </w:p>
        </w:tc>
        <w:tc>
          <w:tcPr>
            <w:tcW w:type="dxa" w:w="2033"/>
            <w:vAlign w:val="center"/>
          </w:tcPr>
          <w:p>
            <w:pPr>
              <w:spacing w:after="40"/>
            </w:pPr>
            <w:r>
              <w:rPr>
                <w:color w:val="20313D"/>
                <w:sz w:val="17"/>
              </w:rPr>
              <w:t>[Name]</w:t>
            </w:r>
          </w:p>
        </w:tc>
      </w:tr>
      <w:tr>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c>
          <w:tcPr>
            <w:tcW w:type="dxa" w:w="2033"/>
            <w:vAlign w:val="center"/>
            <w:shd w:fill="F4FAFA"/>
          </w:tcPr>
          <w:p>
            <w:pPr>
              <w:spacing w:after="40"/>
            </w:pPr>
            <w:r>
              <w:rPr>
                <w:color w:val="20313D"/>
                <w:sz w:val="17"/>
              </w:rPr>
            </w:r>
          </w:p>
        </w:tc>
      </w:tr>
    </w:tbl>
    <w:p/>
    <w:p>
      <w:r>
        <w:br w:type="page"/>
      </w:r>
    </w:p>
    <w:p>
      <w:pPr>
        <w:pStyle w:val="Heading1"/>
      </w:pPr>
      <w:r>
        <w:t>1. Security Management and Risk Analysis</w:t>
      </w:r>
    </w:p>
    <w:p>
      <w:pPr>
        <w:pStyle w:val="Heading2"/>
      </w:pPr>
      <w:r>
        <w:t>Objective</w:t>
      </w:r>
    </w:p>
    <w:p>
      <w:r>
        <w:t>Conduct an accurate and thorough analysis of risks to the confidentiality, integrity and availability of ePHI and manage identified risks.</w:t>
      </w:r>
    </w:p>
    <w:p>
      <w:pPr>
        <w:pStyle w:val="Heading2"/>
      </w:pPr>
      <w:r>
        <w:t>Policy requirements</w:t>
      </w:r>
    </w:p>
    <w:p>
      <w:pPr>
        <w:pStyle w:val="ListBullet"/>
      </w:pPr>
      <w:r>
        <w:t>Risk analysis covers relevant assets, threats, vulnerabilities, safeguards, likelihood and impact.</w:t>
      </w:r>
    </w:p>
    <w:p>
      <w:pPr>
        <w:pStyle w:val="ListBullet"/>
      </w:pPr>
      <w:r>
        <w:t>Risk treatment decisions have owners, deadlines and approval.</w:t>
      </w:r>
    </w:p>
    <w:p>
      <w:pPr>
        <w:pStyle w:val="ListBullet"/>
      </w:pPr>
      <w:r>
        <w:t>Sanctions and information-system activity review are defined and consistently applied.</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Define methodology and scope.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Inventory ePHI systems and flows.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Evaluate threats, vulnerabilities and existing safeguards.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Prioritize treatment and approve residual risk.</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Update after material change and periodically.</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Risk methodology/register</w:t>
      </w:r>
    </w:p>
    <w:p>
      <w:pPr>
        <w:pStyle w:val="ListBullet"/>
      </w:pPr>
      <w:r>
        <w:t>Asset and data-flow inventory</w:t>
      </w:r>
    </w:p>
    <w:p>
      <w:pPr>
        <w:pStyle w:val="ListBullet"/>
      </w:pPr>
      <w:r>
        <w:t>Treatment plan</w:t>
      </w:r>
    </w:p>
    <w:p>
      <w:pPr>
        <w:pStyle w:val="ListBullet"/>
      </w:pPr>
      <w:r>
        <w:t>Management approval</w:t>
      </w:r>
    </w:p>
    <w:p>
      <w:pPr>
        <w:pStyle w:val="ListBullet"/>
      </w:pPr>
      <w:r>
        <w:t>Activity review records</w:t>
      </w:r>
    </w:p>
    <w:p>
      <w:pPr>
        <w:pStyle w:val="Heading2"/>
      </w:pPr>
      <w:r>
        <w:t>Measures and review triggers</w:t>
      </w:r>
    </w:p>
    <w:p>
      <w:pPr>
        <w:pStyle w:val="ListBullet"/>
      </w:pPr>
      <w:r>
        <w:t>High risks overdue</w:t>
      </w:r>
    </w:p>
    <w:p>
      <w:pPr>
        <w:pStyle w:val="ListBullet"/>
      </w:pPr>
      <w:r>
        <w:t>Scope coverage</w:t>
      </w:r>
    </w:p>
    <w:p>
      <w:pPr>
        <w:pStyle w:val="ListBullet"/>
      </w:pPr>
      <w:r>
        <w:t>Treatment closure rate</w:t>
      </w:r>
    </w:p>
    <w:p>
      <w:pPr>
        <w:pStyle w:val="ListBullet"/>
      </w:pPr>
      <w:r>
        <w:t>Material changes awaiting review</w:t>
      </w:r>
    </w:p>
    <w:p>
      <w:r>
        <w:br w:type="page"/>
      </w:r>
    </w:p>
    <w:p>
      <w:pPr>
        <w:pStyle w:val="Heading1"/>
      </w:pPr>
      <w:r>
        <w:t>2. Workforce, Access and Authentication</w:t>
      </w:r>
    </w:p>
    <w:p>
      <w:pPr>
        <w:pStyle w:val="Heading2"/>
      </w:pPr>
      <w:r>
        <w:t>Objective</w:t>
      </w:r>
    </w:p>
    <w:p>
      <w:r>
        <w:t>Authorize ePHI access according to role and minimum-necessary principles and remove access promptly when no longer required.</w:t>
      </w:r>
    </w:p>
    <w:p>
      <w:pPr>
        <w:pStyle w:val="Heading2"/>
      </w:pPr>
      <w:r>
        <w:t>Policy requirements</w:t>
      </w:r>
    </w:p>
    <w:p>
      <w:pPr>
        <w:pStyle w:val="ListBullet"/>
      </w:pPr>
      <w:r>
        <w:t>Workforce authorization, supervision, clearance and termination procedures are documented.</w:t>
      </w:r>
    </w:p>
    <w:p>
      <w:pPr>
        <w:pStyle w:val="ListBullet"/>
      </w:pPr>
      <w:r>
        <w:t>Unique identity, authentication and emergency-access processes are implemented.</w:t>
      </w:r>
    </w:p>
    <w:p>
      <w:pPr>
        <w:pStyle w:val="ListBullet"/>
      </w:pPr>
      <w:r>
        <w:t>Access and privileged assignments are reviewed on a defined cadence.</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Approve role and ePHI need.</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Verify identity and training.</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Provision minimum access.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Monitor and periodically review.</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Remove or modify access after change/separation.</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Access approval</w:t>
      </w:r>
    </w:p>
    <w:p>
      <w:pPr>
        <w:pStyle w:val="ListBullet"/>
      </w:pPr>
      <w:r>
        <w:t>Role matrix</w:t>
      </w:r>
    </w:p>
    <w:p>
      <w:pPr>
        <w:pStyle w:val="ListBullet"/>
      </w:pPr>
      <w:r>
        <w:t>Authentication configuration</w:t>
      </w:r>
    </w:p>
    <w:p>
      <w:pPr>
        <w:pStyle w:val="ListBullet"/>
      </w:pPr>
      <w:r>
        <w:t>Access review</w:t>
      </w:r>
    </w:p>
    <w:p>
      <w:pPr>
        <w:pStyle w:val="ListBullet"/>
      </w:pPr>
      <w:r>
        <w:t>Offboarding record</w:t>
      </w:r>
    </w:p>
    <w:p>
      <w:pPr>
        <w:pStyle w:val="Heading2"/>
      </w:pPr>
      <w:r>
        <w:t>Measures and review triggers</w:t>
      </w:r>
    </w:p>
    <w:p>
      <w:pPr>
        <w:pStyle w:val="ListBullet"/>
      </w:pPr>
      <w:r>
        <w:t>Termination disable time</w:t>
      </w:r>
    </w:p>
    <w:p>
      <w:pPr>
        <w:pStyle w:val="ListBullet"/>
      </w:pPr>
      <w:r>
        <w:t>Overdue reviews</w:t>
      </w:r>
    </w:p>
    <w:p>
      <w:pPr>
        <w:pStyle w:val="ListBullet"/>
      </w:pPr>
      <w:r>
        <w:t>Shared/dormant accounts</w:t>
      </w:r>
    </w:p>
    <w:p>
      <w:pPr>
        <w:pStyle w:val="ListBullet"/>
      </w:pPr>
      <w:r>
        <w:t>Emergency-access use</w:t>
      </w:r>
    </w:p>
    <w:p>
      <w:r>
        <w:br w:type="page"/>
      </w:r>
    </w:p>
    <w:p>
      <w:pPr>
        <w:pStyle w:val="Heading1"/>
      </w:pPr>
      <w:r>
        <w:t>3. Physical, Device and Media Safeguards</w:t>
      </w:r>
    </w:p>
    <w:p>
      <w:pPr>
        <w:pStyle w:val="Heading2"/>
      </w:pPr>
      <w:r>
        <w:t>Objective</w:t>
      </w:r>
    </w:p>
    <w:p>
      <w:r>
        <w:t>Protect facilities, workstations, devices and media used to access or store ePHI.</w:t>
      </w:r>
    </w:p>
    <w:p>
      <w:pPr>
        <w:pStyle w:val="Heading2"/>
      </w:pPr>
      <w:r>
        <w:t>Policy requirements</w:t>
      </w:r>
    </w:p>
    <w:p>
      <w:pPr>
        <w:pStyle w:val="ListBullet"/>
      </w:pPr>
      <w:r>
        <w:t>Facility and workstation access is authorized and periodically reviewed.</w:t>
      </w:r>
    </w:p>
    <w:p>
      <w:pPr>
        <w:pStyle w:val="ListBullet"/>
      </w:pPr>
      <w:r>
        <w:t>Device/media receipt, movement, reuse and disposal are controlled.</w:t>
      </w:r>
    </w:p>
    <w:p>
      <w:pPr>
        <w:pStyle w:val="ListBullet"/>
      </w:pPr>
      <w:r>
        <w:t>Remote-work safeguards address privacy, screen, storage, transport and loss reporting.</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Assess facility/workstation exposure.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Authorize physical access.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Inventory devices/media.</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Encrypt and secure transport where appropriate.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Sanitize/dispose and retain evidence.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Facility plan/access list</w:t>
      </w:r>
    </w:p>
    <w:p>
      <w:pPr>
        <w:pStyle w:val="ListBullet"/>
      </w:pPr>
      <w:r>
        <w:t>Device inventory</w:t>
      </w:r>
    </w:p>
    <w:p>
      <w:pPr>
        <w:pStyle w:val="ListBullet"/>
      </w:pPr>
      <w:r>
        <w:t>Encryption status</w:t>
      </w:r>
    </w:p>
    <w:p>
      <w:pPr>
        <w:pStyle w:val="ListBullet"/>
      </w:pPr>
      <w:r>
        <w:t>Media movement/destruction</w:t>
      </w:r>
    </w:p>
    <w:p>
      <w:pPr>
        <w:pStyle w:val="ListBullet"/>
      </w:pPr>
      <w:r>
        <w:t>Remote-work acknowledgment</w:t>
      </w:r>
    </w:p>
    <w:p>
      <w:pPr>
        <w:pStyle w:val="Heading2"/>
      </w:pPr>
      <w:r>
        <w:t>Measures and review triggers</w:t>
      </w:r>
    </w:p>
    <w:p>
      <w:pPr>
        <w:pStyle w:val="ListBullet"/>
      </w:pPr>
      <w:r>
        <w:t>Unencrypted devices</w:t>
      </w:r>
    </w:p>
    <w:p>
      <w:pPr>
        <w:pStyle w:val="ListBullet"/>
      </w:pPr>
      <w:r>
        <w:t>Missing inventory records</w:t>
      </w:r>
    </w:p>
    <w:p>
      <w:pPr>
        <w:pStyle w:val="ListBullet"/>
      </w:pPr>
      <w:r>
        <w:t>Access exceptions</w:t>
      </w:r>
    </w:p>
    <w:p>
      <w:pPr>
        <w:pStyle w:val="ListBullet"/>
      </w:pPr>
      <w:r>
        <w:t>Sanitization evidence completeness</w:t>
      </w:r>
    </w:p>
    <w:p>
      <w:r>
        <w:br w:type="page"/>
      </w:r>
    </w:p>
    <w:p>
      <w:pPr>
        <w:pStyle w:val="Heading1"/>
      </w:pPr>
      <w:r>
        <w:t>4. Technical Safeguards and Activity Review</w:t>
      </w:r>
    </w:p>
    <w:p>
      <w:pPr>
        <w:pStyle w:val="Heading2"/>
      </w:pPr>
      <w:r>
        <w:t>Objective</w:t>
      </w:r>
    </w:p>
    <w:p>
      <w:r>
        <w:t>Use access, audit, integrity and transmission safeguards appropriate to the ePHI environment and risk.</w:t>
      </w:r>
    </w:p>
    <w:p>
      <w:pPr>
        <w:pStyle w:val="Heading2"/>
      </w:pPr>
      <w:r>
        <w:t>Policy requirements</w:t>
      </w:r>
    </w:p>
    <w:p>
      <w:pPr>
        <w:pStyle w:val="ListBullet"/>
      </w:pPr>
      <w:r>
        <w:t>Technical controls enforce authorized access and record relevant system activity.</w:t>
      </w:r>
    </w:p>
    <w:p>
      <w:pPr>
        <w:pStyle w:val="ListBullet"/>
      </w:pPr>
      <w:r>
        <w:t>Integrity and transmission risks are evaluated and addressed.</w:t>
      </w:r>
    </w:p>
    <w:p>
      <w:pPr>
        <w:pStyle w:val="ListBullet"/>
      </w:pPr>
      <w:r>
        <w:t>Audit review is risk-based, documented and escalates anomalies.</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Define control baseline.</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Enable identity, audit, integrity and transmission safeguards.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Review alerts and reports.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Investigate anomalies.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Validate settings after material change.</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Configuration standard</w:t>
      </w:r>
    </w:p>
    <w:p>
      <w:pPr>
        <w:pStyle w:val="ListBullet"/>
      </w:pPr>
      <w:r>
        <w:t>Audit settings/reports</w:t>
      </w:r>
    </w:p>
    <w:p>
      <w:pPr>
        <w:pStyle w:val="ListBullet"/>
      </w:pPr>
      <w:r>
        <w:t>Alert/investigation tickets</w:t>
      </w:r>
    </w:p>
    <w:p>
      <w:pPr>
        <w:pStyle w:val="ListBullet"/>
      </w:pPr>
      <w:r>
        <w:t>Encryption evidence</w:t>
      </w:r>
    </w:p>
    <w:p>
      <w:pPr>
        <w:pStyle w:val="ListBullet"/>
      </w:pPr>
      <w:r>
        <w:t>Change validation</w:t>
      </w:r>
    </w:p>
    <w:p>
      <w:pPr>
        <w:pStyle w:val="Heading2"/>
      </w:pPr>
      <w:r>
        <w:t>Measures and review triggers</w:t>
      </w:r>
    </w:p>
    <w:p>
      <w:pPr>
        <w:pStyle w:val="ListBullet"/>
      </w:pPr>
      <w:r>
        <w:t>Logging coverage</w:t>
      </w:r>
    </w:p>
    <w:p>
      <w:pPr>
        <w:pStyle w:val="ListBullet"/>
      </w:pPr>
      <w:r>
        <w:t>Critical alerts overdue</w:t>
      </w:r>
    </w:p>
    <w:p>
      <w:pPr>
        <w:pStyle w:val="ListBullet"/>
      </w:pPr>
      <w:r>
        <w:t>Configuration exceptions</w:t>
      </w:r>
    </w:p>
    <w:p>
      <w:pPr>
        <w:pStyle w:val="ListBullet"/>
      </w:pPr>
      <w:r>
        <w:t>Review completion</w:t>
      </w:r>
    </w:p>
    <w:p>
      <w:r>
        <w:br w:type="page"/>
      </w:r>
    </w:p>
    <w:p>
      <w:pPr>
        <w:pStyle w:val="Heading1"/>
      </w:pPr>
      <w:r>
        <w:t>5. Security Incident and Breach Decision Support</w:t>
      </w:r>
    </w:p>
    <w:p>
      <w:pPr>
        <w:pStyle w:val="Heading2"/>
      </w:pPr>
      <w:r>
        <w:t>Objective</w:t>
      </w:r>
    </w:p>
    <w:p>
      <w:r>
        <w:t>Identify, respond to and document suspected or known security incidents and support authorized breach-analysis decisions.</w:t>
      </w:r>
    </w:p>
    <w:p>
      <w:pPr>
        <w:pStyle w:val="Heading2"/>
      </w:pPr>
      <w:r>
        <w:t>Policy requirements</w:t>
      </w:r>
    </w:p>
    <w:p>
      <w:pPr>
        <w:pStyle w:val="ListBullet"/>
      </w:pPr>
      <w:r>
        <w:t>Workforce members know how and when to report.</w:t>
      </w:r>
    </w:p>
    <w:p>
      <w:pPr>
        <w:pStyle w:val="ListBullet"/>
      </w:pPr>
      <w:r>
        <w:t>Response roles coordinate security, privacy, legal, communications and business decisions.</w:t>
      </w:r>
    </w:p>
    <w:p>
      <w:pPr>
        <w:pStyle w:val="ListBullet"/>
      </w:pPr>
      <w:r>
        <w:t>Evidence, mitigation and notification analyses are documented by authorized personnel.</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Triage and contain.</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Preserve facts and evidence.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Assess ePHI and operational impact.</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Engage privacy/legal decision makers.</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Recover, notify where required and track improvements.</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Incident record</w:t>
      </w:r>
    </w:p>
    <w:p>
      <w:pPr>
        <w:pStyle w:val="ListBullet"/>
      </w:pPr>
      <w:r>
        <w:t>Evidence log</w:t>
      </w:r>
    </w:p>
    <w:p>
      <w:pPr>
        <w:pStyle w:val="ListBullet"/>
      </w:pPr>
      <w:r>
        <w:t>Risk/breach analysis</w:t>
      </w:r>
    </w:p>
    <w:p>
      <w:pPr>
        <w:pStyle w:val="ListBullet"/>
      </w:pPr>
      <w:r>
        <w:t>Notification decision</w:t>
      </w:r>
    </w:p>
    <w:p>
      <w:pPr>
        <w:pStyle w:val="ListBullet"/>
      </w:pPr>
      <w:r>
        <w:t>After-action plan</w:t>
      </w:r>
    </w:p>
    <w:p>
      <w:pPr>
        <w:pStyle w:val="Heading2"/>
      </w:pPr>
      <w:r>
        <w:t>Measures and review triggers</w:t>
      </w:r>
    </w:p>
    <w:p>
      <w:pPr>
        <w:pStyle w:val="ListBullet"/>
      </w:pPr>
      <w:r>
        <w:t>Time to triage</w:t>
      </w:r>
    </w:p>
    <w:p>
      <w:pPr>
        <w:pStyle w:val="ListBullet"/>
      </w:pPr>
      <w:r>
        <w:t>Incident action aging</w:t>
      </w:r>
    </w:p>
    <w:p>
      <w:pPr>
        <w:pStyle w:val="ListBullet"/>
      </w:pPr>
      <w:r>
        <w:t>Repeat incident themes</w:t>
      </w:r>
    </w:p>
    <w:p>
      <w:pPr>
        <w:pStyle w:val="ListBullet"/>
      </w:pPr>
      <w:r>
        <w:t>Exercise findings overdue</w:t>
      </w:r>
    </w:p>
    <w:p>
      <w:r>
        <w:br w:type="page"/>
      </w:r>
    </w:p>
    <w:p>
      <w:pPr>
        <w:pStyle w:val="Heading1"/>
      </w:pPr>
      <w:r>
        <w:t>6. Contingency, Backup and Recovery</w:t>
      </w:r>
    </w:p>
    <w:p>
      <w:pPr>
        <w:pStyle w:val="Heading2"/>
      </w:pPr>
      <w:r>
        <w:t>Objective</w:t>
      </w:r>
    </w:p>
    <w:p>
      <w:r>
        <w:t>Maintain and test data backup, disaster recovery and emergency-mode procedures for critical ePHI services.</w:t>
      </w:r>
    </w:p>
    <w:p>
      <w:pPr>
        <w:pStyle w:val="Heading2"/>
      </w:pPr>
      <w:r>
        <w:t>Policy requirements</w:t>
      </w:r>
    </w:p>
    <w:p>
      <w:pPr>
        <w:pStyle w:val="ListBullet"/>
      </w:pPr>
      <w:r>
        <w:t>Critical processes, dependencies, recovery objectives and alternate procedures are approved.</w:t>
      </w:r>
    </w:p>
    <w:p>
      <w:pPr>
        <w:pStyle w:val="ListBullet"/>
      </w:pPr>
      <w:r>
        <w:t>Backups are protected and restoration is tested.</w:t>
      </w:r>
    </w:p>
    <w:p>
      <w:pPr>
        <w:pStyle w:val="ListBullet"/>
      </w:pPr>
      <w:r>
        <w:t>Plan effectiveness is evaluated through exercises and material events.</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Perform business-impact analysis.</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Define backup/recovery architecture and ownership.</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Monitor backup completion.</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Test representative restores and service recovery.</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Correct deficiencies and update plans.</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BIA</w:t>
      </w:r>
    </w:p>
    <w:p>
      <w:pPr>
        <w:pStyle w:val="ListBullet"/>
      </w:pPr>
      <w:r>
        <w:t>Backup configuration/report</w:t>
      </w:r>
    </w:p>
    <w:p>
      <w:pPr>
        <w:pStyle w:val="ListBullet"/>
      </w:pPr>
      <w:r>
        <w:t>Restore test</w:t>
      </w:r>
    </w:p>
    <w:p>
      <w:pPr>
        <w:pStyle w:val="ListBullet"/>
      </w:pPr>
      <w:r>
        <w:t>Recovery exercise</w:t>
      </w:r>
    </w:p>
    <w:p>
      <w:pPr>
        <w:pStyle w:val="ListBullet"/>
      </w:pPr>
      <w:r>
        <w:t>Corrective-action tracker</w:t>
      </w:r>
    </w:p>
    <w:p>
      <w:pPr>
        <w:pStyle w:val="Heading2"/>
      </w:pPr>
      <w:r>
        <w:t>Measures and review triggers</w:t>
      </w:r>
    </w:p>
    <w:p>
      <w:pPr>
        <w:pStyle w:val="ListBullet"/>
      </w:pPr>
      <w:r>
        <w:t>Backup success rate</w:t>
      </w:r>
    </w:p>
    <w:p>
      <w:pPr>
        <w:pStyle w:val="ListBullet"/>
      </w:pPr>
      <w:r>
        <w:t>Restore-test success</w:t>
      </w:r>
    </w:p>
    <w:p>
      <w:pPr>
        <w:pStyle w:val="ListBullet"/>
      </w:pPr>
      <w:r>
        <w:t>Actual versus target recovery</w:t>
      </w:r>
    </w:p>
    <w:p>
      <w:pPr>
        <w:pStyle w:val="ListBullet"/>
      </w:pPr>
      <w:r>
        <w:t>Overdue resilience actions</w:t>
      </w:r>
    </w:p>
    <w:p>
      <w:r>
        <w:br w:type="page"/>
      </w:r>
    </w:p>
    <w:p>
      <w:pPr>
        <w:pStyle w:val="Heading1"/>
      </w:pPr>
      <w:r>
        <w:t>7. Business Associates, Training and Documentation</w:t>
      </w:r>
    </w:p>
    <w:p>
      <w:pPr>
        <w:pStyle w:val="Heading2"/>
      </w:pPr>
      <w:r>
        <w:t>Objective</w:t>
      </w:r>
    </w:p>
    <w:p>
      <w:r>
        <w:t>Manage third-party ePHI risk, train the workforce and retain required program documentation.</w:t>
      </w:r>
    </w:p>
    <w:p>
      <w:pPr>
        <w:pStyle w:val="Heading2"/>
      </w:pPr>
      <w:r>
        <w:t>Policy requirements</w:t>
      </w:r>
    </w:p>
    <w:p>
      <w:pPr>
        <w:pStyle w:val="ListBullet"/>
      </w:pPr>
      <w:r>
        <w:t>Business-associate due diligence and agreements are completed as applicable.</w:t>
      </w:r>
    </w:p>
    <w:p>
      <w:pPr>
        <w:pStyle w:val="ListBullet"/>
      </w:pPr>
      <w:r>
        <w:t>Training is role-relevant, documented and refreshed.</w:t>
      </w:r>
    </w:p>
    <w:p>
      <w:pPr>
        <w:pStyle w:val="ListBullet"/>
      </w:pPr>
      <w:r>
        <w:t>Policies, assessments, actions and decisions are retained and available to authorized reviewers.</w:t>
      </w:r>
    </w:p>
    <w:p>
      <w:pPr>
        <w:pStyle w:val="Heading2"/>
      </w:pPr>
      <w:r>
        <w:t>Minimum operating procedure</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3389"/>
        <w:gridCol w:w="3389"/>
        <w:gridCol w:w="3389"/>
      </w:tblGrid>
      <w:tr>
        <w:tc>
          <w:tcPr>
            <w:tcW w:type="dxa" w:w="3389"/>
            <w:shd w:fill="183B56"/>
            <w:vAlign w:val="center"/>
          </w:tcPr>
          <w:p>
            <w:r>
              <w:rPr>
                <w:b/>
                <w:color w:val="FFFFFF"/>
                <w:sz w:val="18"/>
              </w:rPr>
              <w:t>Step</w:t>
            </w:r>
          </w:p>
        </w:tc>
        <w:tc>
          <w:tcPr>
            <w:tcW w:type="dxa" w:w="3389"/>
            <w:shd w:fill="183B56"/>
            <w:vAlign w:val="center"/>
          </w:tcPr>
          <w:p>
            <w:r>
              <w:rPr>
                <w:b/>
                <w:color w:val="FFFFFF"/>
                <w:sz w:val="18"/>
              </w:rPr>
              <w:t>Activity</w:t>
            </w:r>
          </w:p>
        </w:tc>
        <w:tc>
          <w:tcPr>
            <w:tcW w:type="dxa" w:w="3389"/>
            <w:shd w:fill="183B56"/>
            <w:vAlign w:val="center"/>
          </w:tcPr>
          <w:p>
            <w:r>
              <w:rPr>
                <w:b/>
                <w:color w:val="FFFFFF"/>
                <w:sz w:val="18"/>
              </w:rPr>
              <w:t>Owner / record</w:t>
            </w:r>
          </w:p>
        </w:tc>
      </w:tr>
      <w:tr>
        <w:tc>
          <w:tcPr>
            <w:tcW w:type="dxa" w:w="3389"/>
            <w:vAlign w:val="center"/>
          </w:tcPr>
          <w:p>
            <w:pPr>
              <w:spacing w:after="40"/>
            </w:pPr>
            <w:r>
              <w:rPr>
                <w:color w:val="20313D"/>
                <w:sz w:val="17"/>
              </w:rPr>
              <w:t>1</w:t>
            </w:r>
          </w:p>
        </w:tc>
        <w:tc>
          <w:tcPr>
            <w:tcW w:type="dxa" w:w="3389"/>
            <w:vAlign w:val="center"/>
          </w:tcPr>
          <w:p>
            <w:pPr>
              <w:spacing w:after="40"/>
            </w:pPr>
            <w:r>
              <w:rPr>
                <w:color w:val="20313D"/>
                <w:sz w:val="17"/>
              </w:rPr>
              <w:t>Classify vendor/ePHI relationship.</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2</w:t>
            </w:r>
          </w:p>
        </w:tc>
        <w:tc>
          <w:tcPr>
            <w:tcW w:type="dxa" w:w="3389"/>
            <w:vAlign w:val="center"/>
            <w:shd w:fill="F4FAFA"/>
          </w:tcPr>
          <w:p>
            <w:pPr>
              <w:spacing w:after="40"/>
            </w:pPr>
            <w:r>
              <w:rPr>
                <w:color w:val="20313D"/>
                <w:sz w:val="17"/>
              </w:rPr>
              <w:t>Complete due diligence and agreement workflow.</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3</w:t>
            </w:r>
          </w:p>
        </w:tc>
        <w:tc>
          <w:tcPr>
            <w:tcW w:type="dxa" w:w="3389"/>
            <w:vAlign w:val="center"/>
          </w:tcPr>
          <w:p>
            <w:pPr>
              <w:spacing w:after="40"/>
            </w:pPr>
            <w:r>
              <w:rPr>
                <w:color w:val="20313D"/>
                <w:sz w:val="17"/>
              </w:rPr>
              <w:t>Deliver onboarding and recurring training.</w:t>
            </w:r>
          </w:p>
        </w:tc>
        <w:tc>
          <w:tcPr>
            <w:tcW w:type="dxa" w:w="3389"/>
            <w:vAlign w:val="center"/>
          </w:tcPr>
          <w:p>
            <w:pPr>
              <w:spacing w:after="40"/>
            </w:pPr>
            <w:r>
              <w:rPr>
                <w:color w:val="20313D"/>
                <w:sz w:val="17"/>
              </w:rPr>
              <w:t>[Role / system / record]</w:t>
            </w:r>
          </w:p>
        </w:tc>
      </w:tr>
      <w:tr>
        <w:tc>
          <w:tcPr>
            <w:tcW w:type="dxa" w:w="3389"/>
            <w:vAlign w:val="center"/>
            <w:shd w:fill="F4FAFA"/>
          </w:tcPr>
          <w:p>
            <w:pPr>
              <w:spacing w:after="40"/>
            </w:pPr>
            <w:r>
              <w:rPr>
                <w:color w:val="20313D"/>
                <w:sz w:val="17"/>
              </w:rPr>
              <w:t>4</w:t>
            </w:r>
          </w:p>
        </w:tc>
        <w:tc>
          <w:tcPr>
            <w:tcW w:type="dxa" w:w="3389"/>
            <w:vAlign w:val="center"/>
            <w:shd w:fill="F4FAFA"/>
          </w:tcPr>
          <w:p>
            <w:pPr>
              <w:spacing w:after="40"/>
            </w:pPr>
            <w:r>
              <w:rPr>
                <w:color w:val="20313D"/>
                <w:sz w:val="17"/>
              </w:rPr>
              <w:t>Track completion and address noncompliance.</w:t>
            </w:r>
          </w:p>
        </w:tc>
        <w:tc>
          <w:tcPr>
            <w:tcW w:type="dxa" w:w="3389"/>
            <w:vAlign w:val="center"/>
            <w:shd w:fill="F4FAFA"/>
          </w:tcPr>
          <w:p>
            <w:pPr>
              <w:spacing w:after="40"/>
            </w:pPr>
            <w:r>
              <w:rPr>
                <w:color w:val="20313D"/>
                <w:sz w:val="17"/>
              </w:rPr>
              <w:t>[Role / system / record]</w:t>
            </w:r>
          </w:p>
        </w:tc>
      </w:tr>
      <w:tr>
        <w:tc>
          <w:tcPr>
            <w:tcW w:type="dxa" w:w="3389"/>
            <w:vAlign w:val="center"/>
          </w:tcPr>
          <w:p>
            <w:pPr>
              <w:spacing w:after="40"/>
            </w:pPr>
            <w:r>
              <w:rPr>
                <w:color w:val="20313D"/>
                <w:sz w:val="17"/>
              </w:rPr>
              <w:t>5</w:t>
            </w:r>
          </w:p>
        </w:tc>
        <w:tc>
          <w:tcPr>
            <w:tcW w:type="dxa" w:w="3389"/>
            <w:vAlign w:val="center"/>
          </w:tcPr>
          <w:p>
            <w:pPr>
              <w:spacing w:after="40"/>
            </w:pPr>
            <w:r>
              <w:rPr>
                <w:color w:val="20313D"/>
                <w:sz w:val="17"/>
              </w:rPr>
              <w:t>Review vendor posture and documentation.</w:t>
            </w:r>
          </w:p>
        </w:tc>
        <w:tc>
          <w:tcPr>
            <w:tcW w:type="dxa" w:w="3389"/>
            <w:vAlign w:val="center"/>
          </w:tcPr>
          <w:p>
            <w:pPr>
              <w:spacing w:after="40"/>
            </w:pPr>
            <w:r>
              <w:rPr>
                <w:color w:val="20313D"/>
                <w:sz w:val="17"/>
              </w:rPr>
              <w:t>[Role / system / record]</w:t>
            </w:r>
          </w:p>
        </w:tc>
      </w:tr>
    </w:tbl>
    <w:p/>
    <w:p>
      <w:pPr>
        <w:pStyle w:val="Heading2"/>
      </w:pPr>
      <w:r>
        <w:t>Suggested evidence</w:t>
      </w:r>
    </w:p>
    <w:p>
      <w:pPr>
        <w:pStyle w:val="ListBullet"/>
      </w:pPr>
      <w:r>
        <w:t>Vendor/BA register</w:t>
      </w:r>
    </w:p>
    <w:p>
      <w:pPr>
        <w:pStyle w:val="ListBullet"/>
      </w:pPr>
      <w:r>
        <w:t>BAAs</w:t>
      </w:r>
    </w:p>
    <w:p>
      <w:pPr>
        <w:pStyle w:val="ListBullet"/>
      </w:pPr>
      <w:r>
        <w:t>Due-diligence records</w:t>
      </w:r>
    </w:p>
    <w:p>
      <w:pPr>
        <w:pStyle w:val="ListBullet"/>
      </w:pPr>
      <w:r>
        <w:t>Training content/completion</w:t>
      </w:r>
    </w:p>
    <w:p>
      <w:pPr>
        <w:pStyle w:val="ListBullet"/>
      </w:pPr>
      <w:r>
        <w:t>Policy acknowledgments</w:t>
      </w:r>
    </w:p>
    <w:p>
      <w:pPr>
        <w:pStyle w:val="Heading2"/>
      </w:pPr>
      <w:r>
        <w:t>Measures and review triggers</w:t>
      </w:r>
    </w:p>
    <w:p>
      <w:pPr>
        <w:pStyle w:val="ListBullet"/>
      </w:pPr>
      <w:r>
        <w:t>BAA coverage</w:t>
      </w:r>
    </w:p>
    <w:p>
      <w:pPr>
        <w:pStyle w:val="ListBullet"/>
      </w:pPr>
      <w:r>
        <w:t>Vendor reviews overdue</w:t>
      </w:r>
    </w:p>
    <w:p>
      <w:pPr>
        <w:pStyle w:val="ListBullet"/>
      </w:pPr>
      <w:r>
        <w:t>Training completion</w:t>
      </w:r>
    </w:p>
    <w:p>
      <w:pPr>
        <w:pStyle w:val="ListBullet"/>
      </w:pPr>
      <w:r>
        <w:t>Repeat workforce events</w:t>
      </w:r>
    </w:p>
    <w:p>
      <w:pPr>
        <w:pStyle w:val="Heading1"/>
      </w:pPr>
      <w:r>
        <w:t>Policy exception form</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5083"/>
        <w:gridCol w:w="5083"/>
      </w:tblGrid>
      <w:tr>
        <w:tc>
          <w:tcPr>
            <w:tcW w:type="dxa" w:w="5083"/>
            <w:shd w:fill="183B56"/>
            <w:vAlign w:val="center"/>
          </w:tcPr>
          <w:p>
            <w:r>
              <w:rPr>
                <w:b/>
                <w:color w:val="FFFFFF"/>
                <w:sz w:val="18"/>
              </w:rPr>
              <w:t>Field</w:t>
            </w:r>
          </w:p>
        </w:tc>
        <w:tc>
          <w:tcPr>
            <w:tcW w:type="dxa" w:w="5083"/>
            <w:shd w:fill="183B56"/>
            <w:vAlign w:val="center"/>
          </w:tcPr>
          <w:p>
            <w:r>
              <w:rPr>
                <w:b/>
                <w:color w:val="FFFFFF"/>
                <w:sz w:val="18"/>
              </w:rPr>
              <w:t>Required information</w:t>
            </w:r>
          </w:p>
        </w:tc>
      </w:tr>
      <w:tr>
        <w:tc>
          <w:tcPr>
            <w:tcW w:type="dxa" w:w="5083"/>
            <w:vAlign w:val="center"/>
          </w:tcPr>
          <w:p>
            <w:pPr>
              <w:spacing w:after="40"/>
            </w:pPr>
            <w:r>
              <w:rPr>
                <w:color w:val="20313D"/>
                <w:sz w:val="17"/>
              </w:rPr>
              <w:t>Policy / requirement</w:t>
            </w:r>
          </w:p>
        </w:tc>
        <w:tc>
          <w:tcPr>
            <w:tcW w:type="dxa" w:w="5083"/>
            <w:vAlign w:val="center"/>
          </w:tcPr>
          <w:p>
            <w:pPr>
              <w:spacing w:after="40"/>
            </w:pPr>
            <w:r>
              <w:rPr>
                <w:color w:val="20313D"/>
                <w:sz w:val="17"/>
              </w:rPr>
              <w:t>[Name and section]</w:t>
            </w:r>
          </w:p>
        </w:tc>
      </w:tr>
      <w:tr>
        <w:tc>
          <w:tcPr>
            <w:tcW w:type="dxa" w:w="5083"/>
            <w:vAlign w:val="center"/>
            <w:shd w:fill="F4FAFA"/>
          </w:tcPr>
          <w:p>
            <w:pPr>
              <w:spacing w:after="40"/>
            </w:pPr>
            <w:r>
              <w:rPr>
                <w:color w:val="20313D"/>
                <w:sz w:val="17"/>
              </w:rPr>
              <w:t>Business reason</w:t>
            </w:r>
          </w:p>
        </w:tc>
        <w:tc>
          <w:tcPr>
            <w:tcW w:type="dxa" w:w="5083"/>
            <w:vAlign w:val="center"/>
            <w:shd w:fill="F4FAFA"/>
          </w:tcPr>
          <w:p>
            <w:pPr>
              <w:spacing w:after="40"/>
            </w:pPr>
            <w:r>
              <w:rPr>
                <w:color w:val="20313D"/>
                <w:sz w:val="17"/>
              </w:rPr>
              <w:t>[Why the standard process cannot be followed]</w:t>
            </w:r>
          </w:p>
        </w:tc>
      </w:tr>
      <w:tr>
        <w:tc>
          <w:tcPr>
            <w:tcW w:type="dxa" w:w="5083"/>
            <w:vAlign w:val="center"/>
          </w:tcPr>
          <w:p>
            <w:pPr>
              <w:spacing w:after="40"/>
            </w:pPr>
            <w:r>
              <w:rPr>
                <w:color w:val="20313D"/>
                <w:sz w:val="17"/>
              </w:rPr>
              <w:t>Risk</w:t>
            </w:r>
          </w:p>
        </w:tc>
        <w:tc>
          <w:tcPr>
            <w:tcW w:type="dxa" w:w="5083"/>
            <w:vAlign w:val="center"/>
          </w:tcPr>
          <w:p>
            <w:pPr>
              <w:spacing w:after="40"/>
            </w:pPr>
            <w:r>
              <w:rPr>
                <w:color w:val="20313D"/>
                <w:sz w:val="17"/>
              </w:rPr>
              <w:t>[Threat, likelihood, impact and affected data/service]</w:t>
            </w:r>
          </w:p>
        </w:tc>
      </w:tr>
      <w:tr>
        <w:tc>
          <w:tcPr>
            <w:tcW w:type="dxa" w:w="5083"/>
            <w:vAlign w:val="center"/>
            <w:shd w:fill="F4FAFA"/>
          </w:tcPr>
          <w:p>
            <w:pPr>
              <w:spacing w:after="40"/>
            </w:pPr>
            <w:r>
              <w:rPr>
                <w:color w:val="20313D"/>
                <w:sz w:val="17"/>
              </w:rPr>
              <w:t>Compensating safeguards</w:t>
            </w:r>
          </w:p>
        </w:tc>
        <w:tc>
          <w:tcPr>
            <w:tcW w:type="dxa" w:w="5083"/>
            <w:vAlign w:val="center"/>
            <w:shd w:fill="F4FAFA"/>
          </w:tcPr>
          <w:p>
            <w:pPr>
              <w:spacing w:after="40"/>
            </w:pPr>
            <w:r>
              <w:rPr>
                <w:color w:val="20313D"/>
                <w:sz w:val="17"/>
              </w:rPr>
              <w:t>[What reduces the risk during the exception]</w:t>
            </w:r>
          </w:p>
        </w:tc>
      </w:tr>
      <w:tr>
        <w:tc>
          <w:tcPr>
            <w:tcW w:type="dxa" w:w="5083"/>
            <w:vAlign w:val="center"/>
          </w:tcPr>
          <w:p>
            <w:pPr>
              <w:spacing w:after="40"/>
            </w:pPr>
            <w:r>
              <w:rPr>
                <w:color w:val="20313D"/>
                <w:sz w:val="17"/>
              </w:rPr>
              <w:t>Owner and expiration</w:t>
            </w:r>
          </w:p>
        </w:tc>
        <w:tc>
          <w:tcPr>
            <w:tcW w:type="dxa" w:w="5083"/>
            <w:vAlign w:val="center"/>
          </w:tcPr>
          <w:p>
            <w:pPr>
              <w:spacing w:after="40"/>
            </w:pPr>
            <w:r>
              <w:rPr>
                <w:color w:val="20313D"/>
                <w:sz w:val="17"/>
              </w:rPr>
              <w:t>[Named owner and end date]</w:t>
            </w:r>
          </w:p>
        </w:tc>
      </w:tr>
      <w:tr>
        <w:tc>
          <w:tcPr>
            <w:tcW w:type="dxa" w:w="5083"/>
            <w:vAlign w:val="center"/>
            <w:shd w:fill="F4FAFA"/>
          </w:tcPr>
          <w:p>
            <w:pPr>
              <w:spacing w:after="40"/>
            </w:pPr>
            <w:r>
              <w:rPr>
                <w:color w:val="20313D"/>
                <w:sz w:val="17"/>
              </w:rPr>
              <w:t>Approval</w:t>
            </w:r>
          </w:p>
        </w:tc>
        <w:tc>
          <w:tcPr>
            <w:tcW w:type="dxa" w:w="5083"/>
            <w:vAlign w:val="center"/>
            <w:shd w:fill="F4FAFA"/>
          </w:tcPr>
          <w:p>
            <w:pPr>
              <w:spacing w:after="40"/>
            </w:pPr>
            <w:r>
              <w:rPr>
                <w:color w:val="20313D"/>
                <w:sz w:val="17"/>
              </w:rPr>
              <w:t>[Authorized approver and date]</w:t>
            </w:r>
          </w:p>
        </w:tc>
      </w:tr>
    </w:tbl>
    <w:p/>
    <w:p>
      <w:pPr>
        <w:pStyle w:val="Heading1"/>
      </w:pPr>
      <w:r>
        <w:t>Implementation and evidence checklist</w:t>
      </w:r>
    </w:p>
    <w:tbl>
      <w:tblPr>
        <w:tblW w:type="auto" w:w="0"/>
        <w:jc w:val="center"/>
        <w:tblLayout w:type="autofit"/>
        <w:tblLook w:firstColumn="1" w:firstRow="1" w:lastColumn="0" w:lastRow="0" w:noHBand="0" w:noVBand="1" w:val="04A0"/>
        <w:tblBorders>
          <w:top w:val="single" w:sz="4" w:color="C9DDE0"/>
          <w:left w:val="single" w:sz="4" w:color="C9DDE0"/>
          <w:bottom w:val="single" w:sz="4" w:color="C9DDE0"/>
          <w:right w:val="single" w:sz="4" w:color="C9DDE0"/>
          <w:insideH w:val="single" w:sz="4" w:color="C9DDE0"/>
          <w:insideV w:val="single" w:sz="4" w:color="C9DDE0"/>
        </w:tblBorders>
      </w:tblPr>
      <w:tblGrid>
        <w:gridCol w:w="2541"/>
        <w:gridCol w:w="2541"/>
        <w:gridCol w:w="2541"/>
        <w:gridCol w:w="2541"/>
      </w:tblGrid>
      <w:tr>
        <w:tc>
          <w:tcPr>
            <w:tcW w:type="dxa" w:w="2541"/>
            <w:shd w:fill="183B56"/>
            <w:vAlign w:val="center"/>
          </w:tcPr>
          <w:p>
            <w:r>
              <w:rPr>
                <w:b/>
                <w:color w:val="FFFFFF"/>
                <w:sz w:val="18"/>
              </w:rPr>
              <w:t>Checkpoint</w:t>
            </w:r>
          </w:p>
        </w:tc>
        <w:tc>
          <w:tcPr>
            <w:tcW w:type="dxa" w:w="2541"/>
            <w:shd w:fill="183B56"/>
            <w:vAlign w:val="center"/>
          </w:tcPr>
          <w:p>
            <w:r>
              <w:rPr>
                <w:b/>
                <w:color w:val="FFFFFF"/>
                <w:sz w:val="18"/>
              </w:rPr>
              <w:t>Status</w:t>
            </w:r>
          </w:p>
        </w:tc>
        <w:tc>
          <w:tcPr>
            <w:tcW w:type="dxa" w:w="2541"/>
            <w:shd w:fill="183B56"/>
            <w:vAlign w:val="center"/>
          </w:tcPr>
          <w:p>
            <w:r>
              <w:rPr>
                <w:b/>
                <w:color w:val="FFFFFF"/>
                <w:sz w:val="18"/>
              </w:rPr>
              <w:t>Owner</w:t>
            </w:r>
          </w:p>
        </w:tc>
        <w:tc>
          <w:tcPr>
            <w:tcW w:type="dxa" w:w="2541"/>
            <w:shd w:fill="183B56"/>
            <w:vAlign w:val="center"/>
          </w:tcPr>
          <w:p>
            <w:r>
              <w:rPr>
                <w:b/>
                <w:color w:val="FFFFFF"/>
                <w:sz w:val="18"/>
              </w:rPr>
              <w:t>Evidence / action</w:t>
            </w:r>
          </w:p>
        </w:tc>
      </w:tr>
      <w:tr>
        <w:tc>
          <w:tcPr>
            <w:tcW w:type="dxa" w:w="2541"/>
            <w:vAlign w:val="center"/>
          </w:tcPr>
          <w:p>
            <w:pPr>
              <w:spacing w:after="40"/>
            </w:pPr>
            <w:r>
              <w:rPr>
                <w:color w:val="20313D"/>
                <w:sz w:val="17"/>
              </w:rPr>
              <w:t>Scope approved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Roles assigned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Policies approved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Procedures implemented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Workforce trained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Technical settings validated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Evidence collected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Exceptions reviewed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r>
        <w:tc>
          <w:tcPr>
            <w:tcW w:type="dxa" w:w="2541"/>
            <w:vAlign w:val="center"/>
          </w:tcPr>
          <w:p>
            <w:pPr>
              <w:spacing w:after="40"/>
            </w:pPr>
            <w:r>
              <w:rPr>
                <w:color w:val="20313D"/>
                <w:sz w:val="17"/>
              </w:rPr>
              <w:t>Exercise completed</w:t>
            </w:r>
          </w:p>
        </w:tc>
        <w:tc>
          <w:tcPr>
            <w:tcW w:type="dxa" w:w="2541"/>
            <w:vAlign w:val="center"/>
          </w:tcPr>
          <w:p>
            <w:pPr>
              <w:spacing w:after="40"/>
            </w:pPr>
            <w:r>
              <w:rPr>
                <w:color w:val="20313D"/>
                <w:sz w:val="17"/>
              </w:rPr>
              <w:t>Not started / In progress / Complete</w:t>
            </w:r>
          </w:p>
        </w:tc>
        <w:tc>
          <w:tcPr>
            <w:tcW w:type="dxa" w:w="2541"/>
            <w:vAlign w:val="center"/>
          </w:tcPr>
          <w:p>
            <w:pPr>
              <w:spacing w:after="40"/>
            </w:pPr>
            <w:r>
              <w:rPr>
                <w:color w:val="20313D"/>
                <w:sz w:val="17"/>
              </w:rPr>
              <w:t>[Role]</w:t>
            </w:r>
          </w:p>
        </w:tc>
        <w:tc>
          <w:tcPr>
            <w:tcW w:type="dxa" w:w="2541"/>
            <w:vAlign w:val="center"/>
          </w:tcPr>
          <w:p>
            <w:pPr>
              <w:spacing w:after="40"/>
            </w:pPr>
            <w:r>
              <w:rPr>
                <w:color w:val="20313D"/>
                <w:sz w:val="17"/>
              </w:rPr>
              <w:t>[Link / action]</w:t>
            </w:r>
          </w:p>
        </w:tc>
      </w:tr>
      <w:tr>
        <w:tc>
          <w:tcPr>
            <w:tcW w:type="dxa" w:w="2541"/>
            <w:vAlign w:val="center"/>
            <w:shd w:fill="F4FAFA"/>
          </w:tcPr>
          <w:p>
            <w:pPr>
              <w:spacing w:after="40"/>
            </w:pPr>
            <w:r>
              <w:rPr>
                <w:color w:val="20313D"/>
                <w:sz w:val="17"/>
              </w:rPr>
              <w:t>Management review completed</w:t>
            </w:r>
          </w:p>
        </w:tc>
        <w:tc>
          <w:tcPr>
            <w:tcW w:type="dxa" w:w="2541"/>
            <w:vAlign w:val="center"/>
            <w:shd w:fill="F4FAFA"/>
          </w:tcPr>
          <w:p>
            <w:pPr>
              <w:spacing w:after="40"/>
            </w:pPr>
            <w:r>
              <w:rPr>
                <w:color w:val="20313D"/>
                <w:sz w:val="17"/>
              </w:rPr>
              <w:t>Not started / In progress / Complete</w:t>
            </w:r>
          </w:p>
        </w:tc>
        <w:tc>
          <w:tcPr>
            <w:tcW w:type="dxa" w:w="2541"/>
            <w:vAlign w:val="center"/>
            <w:shd w:fill="F4FAFA"/>
          </w:tcPr>
          <w:p>
            <w:pPr>
              <w:spacing w:after="40"/>
            </w:pPr>
            <w:r>
              <w:rPr>
                <w:color w:val="20313D"/>
                <w:sz w:val="17"/>
              </w:rPr>
              <w:t>[Role]</w:t>
            </w:r>
          </w:p>
        </w:tc>
        <w:tc>
          <w:tcPr>
            <w:tcW w:type="dxa" w:w="2541"/>
            <w:vAlign w:val="center"/>
            <w:shd w:fill="F4FAFA"/>
          </w:tcPr>
          <w:p>
            <w:pPr>
              <w:spacing w:after="40"/>
            </w:pPr>
            <w:r>
              <w:rPr>
                <w:color w:val="20313D"/>
                <w:sz w:val="17"/>
              </w:rPr>
              <w:t>[Link / action]</w:t>
            </w:r>
          </w:p>
        </w:tc>
      </w:tr>
    </w:tbl>
    <w:p/>
    <w:p>
      <w:pPr>
        <w:pStyle w:val="Heading1"/>
      </w:pPr>
      <w:r>
        <w:t>Important use notice</w:t>
      </w:r>
    </w:p>
    <w:p>
      <w:r>
        <w:t>This editable HIPAA Security Rule sample is an educational starting point. It must be tailored to the organization, its legal and contractual obligations, technology, risk, workforce and actual practices. It is not legal advice, an audit opinion, certification, attestation, or a guarantee of compliance. Validate current requirements and obtain qualified legal, privacy, contracting and assessor guidance where appropriate.</w:t>
      </w:r>
    </w:p>
    <w:sectPr w:rsidR="00FC693F" w:rsidRPr="0006063C" w:rsidSect="00034616">
      <w:headerReference w:type="default" r:id="rId9"/>
      <w:footerReference w:type="default" r:id="rId10"/>
      <w:pgSz w:w="12240" w:h="15840"/>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E78"/>
        <w:sz w:val="15"/>
      </w:rPr>
      <w:t>Starter template • Customize to your organization and validate against current authoritative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D8A8A"/>
        <w:sz w:val="16"/>
      </w:rPr>
      <w:t>SENTINELBRIDGE ADVISORY   /   SAMPLE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0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B56"/>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D8A8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83B56"/>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