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CMMC Security Policy Suite</w:t>
      </w:r>
    </w:p>
    <w:p>
      <w:r>
        <w:rPr>
          <w:b/>
          <w:color w:val="1D8A8A"/>
          <w:sz w:val="22"/>
        </w:rPr>
        <w:t>CMMC / NIST SP 800-171</w:t>
      </w:r>
    </w:p>
    <w:p>
      <w:pPr>
        <w:pStyle w:val="Subtitle"/>
      </w:pPr>
      <w:r>
        <w:t>Detailed sample policies for organizations handling Federal Contract Information (FCI) or Controlled Unclassified Information (CUI).</w:t>
      </w:r>
    </w:p>
    <w:p>
      <w:r>
        <w:t>Organization: __________________________________________</w:t>
      </w:r>
    </w:p>
    <w:p>
      <w:r>
        <w:t>Owner: ____________________   Version: ______   Review date: __________</w:t>
      </w:r>
    </w:p>
    <w:tbl>
      <w:tblPr>
        <w:tblW w:type="auto" w:w="0"/>
        <w:tblLook w:firstColumn="1" w:firstRow="1" w:lastColumn="0" w:lastRow="0" w:noHBand="0" w:noVBand="1" w:val="04A0"/>
      </w:tblPr>
      <w:tblGrid>
        <w:gridCol w:w="10166"/>
      </w:tblGrid>
      <w:tr>
        <w:tc>
          <w:tcPr>
            <w:tcW w:type="dxa" w:w="10166"/>
            <w:shd w:fill="EAF6F5"/>
          </w:tcPr>
          <w:p>
            <w:r>
              <w:rPr>
                <w:color w:val="20313D"/>
                <w:sz w:val="18"/>
              </w:rPr>
              <w:t>How to use this sample</w:t>
              <w:br/>
              <w:t>Replace bracketed prompts, align statements with actual practices, assign accountable owners, and attach evidence. This sample is educational—not legal advice, an attestation, or evidence of certification. Requirements and interpretations change; verify current authoritative sources and contractual obligations.</w:t>
            </w:r>
          </w:p>
        </w:tc>
      </w:tr>
    </w:tbl>
    <w:p>
      <w:r>
        <w:br w:type="page"/>
      </w:r>
    </w:p>
    <w:p>
      <w:pPr>
        <w:pStyle w:val="Heading1"/>
      </w:pPr>
      <w:r>
        <w:t>Template purpose</w:t>
      </w:r>
    </w:p>
    <w:p>
      <w:r>
        <w:t>Provide an integrated policy baseline for defining the CUI environment, operating safeguards, managing deficiencies and producing assessment-ready evidence.</w:t>
      </w:r>
    </w:p>
    <w:p>
      <w:pPr>
        <w:pStyle w:val="Heading1"/>
      </w:pPr>
      <w:r>
        <w:t>Implementation instructions</w:t>
      </w:r>
    </w:p>
    <w:p>
      <w:pPr>
        <w:pStyle w:val="ListBullet"/>
      </w:pPr>
      <w:r>
        <w:t>Replace every bracketed prompt with approved organization-specific information.</w:t>
      </w:r>
    </w:p>
    <w:p>
      <w:pPr>
        <w:pStyle w:val="ListBullet"/>
      </w:pPr>
      <w:r>
        <w:t>Reconcile the policy with contracts, law, architecture, procedures and actual control operation.</w:t>
      </w:r>
    </w:p>
    <w:p>
      <w:pPr>
        <w:pStyle w:val="ListBullet"/>
      </w:pPr>
      <w:r>
        <w:t>Assign named accountable owners and define evidence, frequency and review expectations.</w:t>
      </w:r>
    </w:p>
    <w:p>
      <w:pPr>
        <w:pStyle w:val="ListBullet"/>
      </w:pPr>
      <w:r>
        <w:t>Document gaps in an approved corrective-action or risk-treatment process rather than overstating implementation.</w:t>
      </w:r>
    </w:p>
    <w:p>
      <w:pPr>
        <w:pStyle w:val="ListBullet"/>
      </w:pPr>
      <w:r>
        <w:t>Obtain management approval, communicate requirements and review after material change.</w:t>
      </w:r>
    </w:p>
    <w:p>
      <w:pPr>
        <w:pStyle w:val="Heading1"/>
      </w:pPr>
      <w:r>
        <w:t>Scope and applicability record</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Scope question</w:t>
            </w:r>
          </w:p>
        </w:tc>
        <w:tc>
          <w:tcPr>
            <w:tcW w:type="dxa" w:w="3389"/>
            <w:shd w:fill="183B56"/>
            <w:vAlign w:val="center"/>
          </w:tcPr>
          <w:p>
            <w:r>
              <w:rPr>
                <w:b/>
                <w:color w:val="FFFFFF"/>
                <w:sz w:val="18"/>
              </w:rPr>
              <w:t>Organization response</w:t>
            </w:r>
          </w:p>
        </w:tc>
        <w:tc>
          <w:tcPr>
            <w:tcW w:type="dxa" w:w="3389"/>
            <w:shd w:fill="183B56"/>
            <w:vAlign w:val="center"/>
          </w:tcPr>
          <w:p>
            <w:r>
              <w:rPr>
                <w:b/>
                <w:color w:val="FFFFFF"/>
                <w:sz w:val="18"/>
              </w:rPr>
              <w:t>Owner/evidence</w:t>
            </w:r>
          </w:p>
        </w:tc>
      </w:tr>
      <w:tr>
        <w:tc>
          <w:tcPr>
            <w:tcW w:type="dxa" w:w="3389"/>
            <w:vAlign w:val="center"/>
          </w:tcPr>
          <w:p>
            <w:pPr>
              <w:spacing w:after="40"/>
            </w:pPr>
            <w:r>
              <w:rPr>
                <w:color w:val="20313D"/>
                <w:sz w:val="17"/>
              </w:rPr>
              <w:t>Which contracts and clauses apply?</w:t>
            </w:r>
          </w:p>
        </w:tc>
        <w:tc>
          <w:tcPr>
            <w:tcW w:type="dxa" w:w="3389"/>
            <w:vAlign w:val="center"/>
          </w:tcPr>
          <w:p>
            <w:pPr>
              <w:spacing w:after="40"/>
            </w:pPr>
            <w:r>
              <w:rPr>
                <w:color w:val="20313D"/>
                <w:sz w:val="17"/>
              </w:rPr>
              <w:t>[FAR/DFARS clauses, customer flowdowns]</w:t>
            </w:r>
          </w:p>
        </w:tc>
        <w:tc>
          <w:tcPr>
            <w:tcW w:type="dxa" w:w="3389"/>
            <w:vAlign w:val="center"/>
          </w:tcPr>
          <w:p>
            <w:pPr>
              <w:spacing w:after="40"/>
            </w:pPr>
            <w:r>
              <w:rPr>
                <w:color w:val="20313D"/>
                <w:sz w:val="17"/>
              </w:rPr>
              <w:t>[Contract review]</w:t>
            </w:r>
          </w:p>
        </w:tc>
      </w:tr>
      <w:tr>
        <w:tc>
          <w:tcPr>
            <w:tcW w:type="dxa" w:w="3389"/>
            <w:vAlign w:val="center"/>
            <w:shd w:fill="F4FAFA"/>
          </w:tcPr>
          <w:p>
            <w:pPr>
              <w:spacing w:after="40"/>
            </w:pPr>
            <w:r>
              <w:rPr>
                <w:color w:val="20313D"/>
                <w:sz w:val="17"/>
              </w:rPr>
              <w:t>What information is FCI/CUI?</w:t>
            </w:r>
          </w:p>
        </w:tc>
        <w:tc>
          <w:tcPr>
            <w:tcW w:type="dxa" w:w="3389"/>
            <w:vAlign w:val="center"/>
            <w:shd w:fill="F4FAFA"/>
          </w:tcPr>
          <w:p>
            <w:pPr>
              <w:spacing w:after="40"/>
            </w:pPr>
            <w:r>
              <w:rPr>
                <w:color w:val="20313D"/>
                <w:sz w:val="17"/>
              </w:rPr>
              <w:t>[Categories, sources, markings]</w:t>
            </w:r>
          </w:p>
        </w:tc>
        <w:tc>
          <w:tcPr>
            <w:tcW w:type="dxa" w:w="3389"/>
            <w:vAlign w:val="center"/>
            <w:shd w:fill="F4FAFA"/>
          </w:tcPr>
          <w:p>
            <w:pPr>
              <w:spacing w:after="40"/>
            </w:pPr>
            <w:r>
              <w:rPr>
                <w:color w:val="20313D"/>
                <w:sz w:val="17"/>
              </w:rPr>
              <w:t>[Data inventory]</w:t>
            </w:r>
          </w:p>
        </w:tc>
      </w:tr>
      <w:tr>
        <w:tc>
          <w:tcPr>
            <w:tcW w:type="dxa" w:w="3389"/>
            <w:vAlign w:val="center"/>
          </w:tcPr>
          <w:p>
            <w:pPr>
              <w:spacing w:after="40"/>
            </w:pPr>
            <w:r>
              <w:rPr>
                <w:color w:val="20313D"/>
                <w:sz w:val="17"/>
              </w:rPr>
              <w:t>What is the assessment level/basis?</w:t>
            </w:r>
          </w:p>
        </w:tc>
        <w:tc>
          <w:tcPr>
            <w:tcW w:type="dxa" w:w="3389"/>
            <w:vAlign w:val="center"/>
          </w:tcPr>
          <w:p>
            <w:pPr>
              <w:spacing w:after="40"/>
            </w:pPr>
            <w:r>
              <w:rPr>
                <w:color w:val="20313D"/>
                <w:sz w:val="17"/>
              </w:rPr>
              <w:t>[Level, assessment type, target]</w:t>
            </w:r>
          </w:p>
        </w:tc>
        <w:tc>
          <w:tcPr>
            <w:tcW w:type="dxa" w:w="3389"/>
            <w:vAlign w:val="center"/>
          </w:tcPr>
          <w:p>
            <w:pPr>
              <w:spacing w:after="40"/>
            </w:pPr>
            <w:r>
              <w:rPr>
                <w:color w:val="20313D"/>
                <w:sz w:val="17"/>
              </w:rPr>
              <w:t>[Requirement record]</w:t>
            </w:r>
          </w:p>
        </w:tc>
      </w:tr>
      <w:tr>
        <w:tc>
          <w:tcPr>
            <w:tcW w:type="dxa" w:w="3389"/>
            <w:vAlign w:val="center"/>
            <w:shd w:fill="F4FAFA"/>
          </w:tcPr>
          <w:p>
            <w:pPr>
              <w:spacing w:after="40"/>
            </w:pPr>
            <w:r>
              <w:rPr>
                <w:color w:val="20313D"/>
                <w:sz w:val="17"/>
              </w:rPr>
              <w:t>What systems and providers are in scope?</w:t>
            </w:r>
          </w:p>
        </w:tc>
        <w:tc>
          <w:tcPr>
            <w:tcW w:type="dxa" w:w="3389"/>
            <w:vAlign w:val="center"/>
            <w:shd w:fill="F4FAFA"/>
          </w:tcPr>
          <w:p>
            <w:pPr>
              <w:spacing w:after="40"/>
            </w:pPr>
            <w:r>
              <w:rPr>
                <w:color w:val="20313D"/>
                <w:sz w:val="17"/>
              </w:rPr>
              <w:t>[Assets, enclaves, ESPs/CSPs]</w:t>
            </w:r>
          </w:p>
        </w:tc>
        <w:tc>
          <w:tcPr>
            <w:tcW w:type="dxa" w:w="3389"/>
            <w:vAlign w:val="center"/>
            <w:shd w:fill="F4FAFA"/>
          </w:tcPr>
          <w:p>
            <w:pPr>
              <w:spacing w:after="40"/>
            </w:pPr>
            <w:r>
              <w:rPr>
                <w:color w:val="20313D"/>
                <w:sz w:val="17"/>
              </w:rPr>
              <w:t>[Boundary/data flows]</w:t>
            </w:r>
          </w:p>
        </w:tc>
      </w:tr>
      <w:tr>
        <w:tc>
          <w:tcPr>
            <w:tcW w:type="dxa" w:w="3389"/>
            <w:vAlign w:val="center"/>
          </w:tcPr>
          <w:p>
            <w:pPr>
              <w:spacing w:after="40"/>
            </w:pPr>
            <w:r>
              <w:rPr>
                <w:color w:val="20313D"/>
                <w:sz w:val="17"/>
              </w:rPr>
              <w:t>Which NIST SP 800-171 version/method applies?</w:t>
            </w:r>
          </w:p>
        </w:tc>
        <w:tc>
          <w:tcPr>
            <w:tcW w:type="dxa" w:w="3389"/>
            <w:vAlign w:val="center"/>
          </w:tcPr>
          <w:p>
            <w:pPr>
              <w:spacing w:after="40"/>
            </w:pPr>
            <w:r>
              <w:rPr>
                <w:color w:val="20313D"/>
                <w:sz w:val="17"/>
              </w:rPr>
              <w:t>[Confirm current contractual basis]</w:t>
            </w:r>
          </w:p>
        </w:tc>
        <w:tc>
          <w:tcPr>
            <w:tcW w:type="dxa" w:w="3389"/>
            <w:vAlign w:val="center"/>
          </w:tcPr>
          <w:p>
            <w:pPr>
              <w:spacing w:after="40"/>
            </w:pPr>
            <w:r>
              <w:rPr>
                <w:color w:val="20313D"/>
                <w:sz w:val="17"/>
              </w:rPr>
              <w:t>[Legal/contract/assessor confirmation]</w:t>
            </w:r>
          </w:p>
        </w:tc>
      </w:tr>
    </w:tbl>
    <w:p/>
    <w:p>
      <w:pPr>
        <w:pStyle w:val="Heading1"/>
      </w:pPr>
      <w:r>
        <w:t>Common governance rules</w:t>
      </w:r>
    </w:p>
    <w:p>
      <w:pPr>
        <w:pStyle w:val="ListBullet"/>
      </w:pPr>
      <w:r>
        <w:t>Policies must describe actual operations; aspirational language is converted into an approved implementation plan.</w:t>
      </w:r>
    </w:p>
    <w:p>
      <w:pPr>
        <w:pStyle w:val="ListBullet"/>
      </w:pPr>
      <w:r>
        <w:t>Exceptions require a business justification, risk evaluation, compensating safeguards, owner, approval and expiration date.</w:t>
      </w:r>
    </w:p>
    <w:p>
      <w:pPr>
        <w:pStyle w:val="ListBullet"/>
      </w:pPr>
      <w:r>
        <w:t>Control owners maintain evidence for the relevant review or examination period and protect evidence from unauthorized change.</w:t>
      </w:r>
    </w:p>
    <w:p>
      <w:pPr>
        <w:pStyle w:val="ListBullet"/>
      </w:pPr>
      <w:r>
        <w:t>Material changes, incidents, audit findings and regulatory updates trigger an out-of-cycle review.</w:t>
      </w:r>
    </w:p>
    <w:p>
      <w:pPr>
        <w:pStyle w:val="ListBullet"/>
      </w:pPr>
      <w:r>
        <w:t>Management reviews program performance, overdue actions, accepted risk and resource constraints on a defined cadence.</w:t>
      </w:r>
    </w:p>
    <w:p>
      <w:pPr>
        <w:pStyle w:val="Heading1"/>
      </w:pPr>
      <w:r>
        <w:t>Document governance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Role</w:t>
            </w:r>
          </w:p>
        </w:tc>
        <w:tc>
          <w:tcPr>
            <w:tcW w:type="dxa" w:w="3389"/>
            <w:shd w:fill="183B56"/>
            <w:vAlign w:val="center"/>
          </w:tcPr>
          <w:p>
            <w:r>
              <w:rPr>
                <w:b/>
                <w:color w:val="FFFFFF"/>
                <w:sz w:val="18"/>
              </w:rPr>
              <w:t>Named owner</w:t>
            </w:r>
          </w:p>
        </w:tc>
        <w:tc>
          <w:tcPr>
            <w:tcW w:type="dxa" w:w="3389"/>
            <w:shd w:fill="183B56"/>
            <w:vAlign w:val="center"/>
          </w:tcPr>
          <w:p>
            <w:r>
              <w:rPr>
                <w:b/>
                <w:color w:val="FFFFFF"/>
                <w:sz w:val="18"/>
              </w:rPr>
              <w:t>Accountability</w:t>
            </w:r>
          </w:p>
        </w:tc>
      </w:tr>
      <w:tr>
        <w:tc>
          <w:tcPr>
            <w:tcW w:type="dxa" w:w="3389"/>
            <w:vAlign w:val="center"/>
          </w:tcPr>
          <w:p>
            <w:pPr>
              <w:spacing w:after="40"/>
            </w:pPr>
            <w:r>
              <w:rPr>
                <w:color w:val="20313D"/>
                <w:sz w:val="17"/>
              </w:rPr>
              <w:t>Executive sponsor</w:t>
            </w:r>
          </w:p>
        </w:tc>
        <w:tc>
          <w:tcPr>
            <w:tcW w:type="dxa" w:w="3389"/>
            <w:vAlign w:val="center"/>
          </w:tcPr>
          <w:p>
            <w:pPr>
              <w:spacing w:after="40"/>
            </w:pPr>
            <w:r>
              <w:rPr>
                <w:color w:val="20313D"/>
                <w:sz w:val="17"/>
              </w:rPr>
              <w:t>[Name / title]</w:t>
            </w:r>
          </w:p>
        </w:tc>
        <w:tc>
          <w:tcPr>
            <w:tcW w:type="dxa" w:w="3389"/>
            <w:vAlign w:val="center"/>
          </w:tcPr>
          <w:p>
            <w:pPr>
              <w:spacing w:after="40"/>
            </w:pPr>
            <w:r>
              <w:rPr>
                <w:color w:val="20313D"/>
                <w:sz w:val="17"/>
              </w:rPr>
              <w:t>Approves scope, resources, risk acceptance and material changes.</w:t>
            </w:r>
          </w:p>
        </w:tc>
      </w:tr>
      <w:tr>
        <w:tc>
          <w:tcPr>
            <w:tcW w:type="dxa" w:w="3389"/>
            <w:vAlign w:val="center"/>
            <w:shd w:fill="F4FAFA"/>
          </w:tcPr>
          <w:p>
            <w:pPr>
              <w:spacing w:after="40"/>
            </w:pPr>
            <w:r>
              <w:rPr>
                <w:color w:val="20313D"/>
                <w:sz w:val="17"/>
              </w:rPr>
              <w:t>Program owner</w:t>
            </w:r>
          </w:p>
        </w:tc>
        <w:tc>
          <w:tcPr>
            <w:tcW w:type="dxa" w:w="3389"/>
            <w:vAlign w:val="center"/>
            <w:shd w:fill="F4FAFA"/>
          </w:tcPr>
          <w:p>
            <w:pPr>
              <w:spacing w:after="40"/>
            </w:pPr>
            <w:r>
              <w:rPr>
                <w:color w:val="20313D"/>
                <w:sz w:val="17"/>
              </w:rPr>
              <w:t>[Name / title]</w:t>
            </w:r>
          </w:p>
        </w:tc>
        <w:tc>
          <w:tcPr>
            <w:tcW w:type="dxa" w:w="3389"/>
            <w:vAlign w:val="center"/>
            <w:shd w:fill="F4FAFA"/>
          </w:tcPr>
          <w:p>
            <w:pPr>
              <w:spacing w:after="40"/>
            </w:pPr>
            <w:r>
              <w:rPr>
                <w:color w:val="20313D"/>
                <w:sz w:val="17"/>
              </w:rPr>
              <w:t>Coordinates implementation, evidence, reviews and reporting.</w:t>
            </w:r>
          </w:p>
        </w:tc>
      </w:tr>
      <w:tr>
        <w:tc>
          <w:tcPr>
            <w:tcW w:type="dxa" w:w="3389"/>
            <w:vAlign w:val="center"/>
          </w:tcPr>
          <w:p>
            <w:pPr>
              <w:spacing w:after="40"/>
            </w:pPr>
            <w:r>
              <w:rPr>
                <w:color w:val="20313D"/>
                <w:sz w:val="17"/>
              </w:rPr>
              <w:t>Control owners</w:t>
            </w:r>
          </w:p>
        </w:tc>
        <w:tc>
          <w:tcPr>
            <w:tcW w:type="dxa" w:w="3389"/>
            <w:vAlign w:val="center"/>
          </w:tcPr>
          <w:p>
            <w:pPr>
              <w:spacing w:after="40"/>
            </w:pPr>
            <w:r>
              <w:rPr>
                <w:color w:val="20313D"/>
                <w:sz w:val="17"/>
              </w:rPr>
              <w:t>[Functions / names]</w:t>
            </w:r>
          </w:p>
        </w:tc>
        <w:tc>
          <w:tcPr>
            <w:tcW w:type="dxa" w:w="3389"/>
            <w:vAlign w:val="center"/>
          </w:tcPr>
          <w:p>
            <w:pPr>
              <w:spacing w:after="40"/>
            </w:pPr>
            <w:r>
              <w:rPr>
                <w:color w:val="20313D"/>
                <w:sz w:val="17"/>
              </w:rPr>
              <w:t>Operate assigned controls and maintain accurate evidence.</w:t>
            </w:r>
          </w:p>
        </w:tc>
      </w:tr>
      <w:tr>
        <w:tc>
          <w:tcPr>
            <w:tcW w:type="dxa" w:w="3389"/>
            <w:vAlign w:val="center"/>
            <w:shd w:fill="F4FAFA"/>
          </w:tcPr>
          <w:p>
            <w:pPr>
              <w:spacing w:after="40"/>
            </w:pPr>
            <w:r>
              <w:rPr>
                <w:color w:val="20313D"/>
                <w:sz w:val="17"/>
              </w:rPr>
              <w:t>Independent reviewer</w:t>
            </w:r>
          </w:p>
        </w:tc>
        <w:tc>
          <w:tcPr>
            <w:tcW w:type="dxa" w:w="3389"/>
            <w:vAlign w:val="center"/>
            <w:shd w:fill="F4FAFA"/>
          </w:tcPr>
          <w:p>
            <w:pPr>
              <w:spacing w:after="40"/>
            </w:pPr>
            <w:r>
              <w:rPr>
                <w:color w:val="20313D"/>
                <w:sz w:val="17"/>
              </w:rPr>
              <w:t>[Name / provider]</w:t>
            </w:r>
          </w:p>
        </w:tc>
        <w:tc>
          <w:tcPr>
            <w:tcW w:type="dxa" w:w="3389"/>
            <w:vAlign w:val="center"/>
            <w:shd w:fill="F4FAFA"/>
          </w:tcPr>
          <w:p>
            <w:pPr>
              <w:spacing w:after="40"/>
            </w:pPr>
            <w:r>
              <w:rPr>
                <w:color w:val="20313D"/>
                <w:sz w:val="17"/>
              </w:rPr>
              <w:t>Challenges completeness and tests readiness where appropriate.</w:t>
            </w:r>
          </w:p>
        </w:tc>
      </w:tr>
    </w:tbl>
    <w:p/>
    <w:p>
      <w:pPr>
        <w:pStyle w:val="Heading2"/>
      </w:pPr>
      <w:r>
        <w:t>Approval and revision history</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2033"/>
        <w:gridCol w:w="2033"/>
        <w:gridCol w:w="2033"/>
        <w:gridCol w:w="2033"/>
        <w:gridCol w:w="2033"/>
      </w:tblGrid>
      <w:tr>
        <w:tc>
          <w:tcPr>
            <w:tcW w:type="dxa" w:w="2033"/>
            <w:shd w:fill="183B56"/>
            <w:vAlign w:val="center"/>
          </w:tcPr>
          <w:p>
            <w:r>
              <w:rPr>
                <w:b/>
                <w:color w:val="FFFFFF"/>
                <w:sz w:val="18"/>
              </w:rPr>
              <w:t>Version</w:t>
            </w:r>
          </w:p>
        </w:tc>
        <w:tc>
          <w:tcPr>
            <w:tcW w:type="dxa" w:w="2033"/>
            <w:shd w:fill="183B56"/>
            <w:vAlign w:val="center"/>
          </w:tcPr>
          <w:p>
            <w:r>
              <w:rPr>
                <w:b/>
                <w:color w:val="FFFFFF"/>
                <w:sz w:val="18"/>
              </w:rPr>
              <w:t>Date</w:t>
            </w:r>
          </w:p>
        </w:tc>
        <w:tc>
          <w:tcPr>
            <w:tcW w:type="dxa" w:w="2033"/>
            <w:shd w:fill="183B56"/>
            <w:vAlign w:val="center"/>
          </w:tcPr>
          <w:p>
            <w:r>
              <w:rPr>
                <w:b/>
                <w:color w:val="FFFFFF"/>
                <w:sz w:val="18"/>
              </w:rPr>
              <w:t>Change</w:t>
            </w:r>
          </w:p>
        </w:tc>
        <w:tc>
          <w:tcPr>
            <w:tcW w:type="dxa" w:w="2033"/>
            <w:shd w:fill="183B56"/>
            <w:vAlign w:val="center"/>
          </w:tcPr>
          <w:p>
            <w:r>
              <w:rPr>
                <w:b/>
                <w:color w:val="FFFFFF"/>
                <w:sz w:val="18"/>
              </w:rPr>
              <w:t>Author</w:t>
            </w:r>
          </w:p>
        </w:tc>
        <w:tc>
          <w:tcPr>
            <w:tcW w:type="dxa" w:w="2033"/>
            <w:shd w:fill="183B56"/>
            <w:vAlign w:val="center"/>
          </w:tcPr>
          <w:p>
            <w:r>
              <w:rPr>
                <w:b/>
                <w:color w:val="FFFFFF"/>
                <w:sz w:val="18"/>
              </w:rPr>
              <w:t>Approver</w:t>
            </w:r>
          </w:p>
        </w:tc>
      </w:tr>
      <w:tr>
        <w:tc>
          <w:tcPr>
            <w:tcW w:type="dxa" w:w="2033"/>
            <w:vAlign w:val="center"/>
          </w:tcPr>
          <w:p>
            <w:pPr>
              <w:spacing w:after="40"/>
            </w:pPr>
            <w:r>
              <w:rPr>
                <w:color w:val="20313D"/>
                <w:sz w:val="17"/>
              </w:rPr>
              <w:t>0.1</w:t>
            </w:r>
          </w:p>
        </w:tc>
        <w:tc>
          <w:tcPr>
            <w:tcW w:type="dxa" w:w="2033"/>
            <w:vAlign w:val="center"/>
          </w:tcPr>
          <w:p>
            <w:pPr>
              <w:spacing w:after="40"/>
            </w:pPr>
            <w:r>
              <w:rPr>
                <w:color w:val="20313D"/>
                <w:sz w:val="17"/>
              </w:rPr>
              <w:t>[Date]</w:t>
            </w:r>
          </w:p>
        </w:tc>
        <w:tc>
          <w:tcPr>
            <w:tcW w:type="dxa" w:w="2033"/>
            <w:vAlign w:val="center"/>
          </w:tcPr>
          <w:p>
            <w:pPr>
              <w:spacing w:after="40"/>
            </w:pPr>
            <w:r>
              <w:rPr>
                <w:color w:val="20313D"/>
                <w:sz w:val="17"/>
              </w:rPr>
              <w:t>Initial working draft</w:t>
            </w:r>
          </w:p>
        </w:tc>
        <w:tc>
          <w:tcPr>
            <w:tcW w:type="dxa" w:w="2033"/>
            <w:vAlign w:val="center"/>
          </w:tcPr>
          <w:p>
            <w:pPr>
              <w:spacing w:after="40"/>
            </w:pPr>
            <w:r>
              <w:rPr>
                <w:color w:val="20313D"/>
                <w:sz w:val="17"/>
              </w:rPr>
              <w:t>[Name]</w:t>
            </w:r>
          </w:p>
        </w:tc>
        <w:tc>
          <w:tcPr>
            <w:tcW w:type="dxa" w:w="2033"/>
            <w:vAlign w:val="center"/>
          </w:tcPr>
          <w:p>
            <w:pPr>
              <w:spacing w:after="40"/>
            </w:pPr>
            <w:r>
              <w:rPr>
                <w:color w:val="20313D"/>
                <w:sz w:val="17"/>
              </w:rPr>
              <w:t>[Name]</w:t>
            </w:r>
          </w:p>
        </w:tc>
      </w:tr>
      <w:tr>
        <w:tc>
          <w:tcPr>
            <w:tcW w:type="dxa" w:w="2033"/>
            <w:vAlign w:val="center"/>
            <w:shd w:fill="F4FAFA"/>
          </w:tcPr>
          <w:p>
            <w:pPr>
              <w:spacing w:after="40"/>
            </w:pPr>
            <w:r>
              <w:rPr>
                <w:color w:val="20313D"/>
                <w:sz w:val="17"/>
              </w:rPr>
            </w:r>
          </w:p>
        </w:tc>
        <w:tc>
          <w:tcPr>
            <w:tcW w:type="dxa" w:w="2033"/>
            <w:vAlign w:val="center"/>
            <w:shd w:fill="F4FAFA"/>
          </w:tcPr>
          <w:p>
            <w:pPr>
              <w:spacing w:after="40"/>
            </w:pPr>
            <w:r>
              <w:rPr>
                <w:color w:val="20313D"/>
                <w:sz w:val="17"/>
              </w:rPr>
            </w:r>
          </w:p>
        </w:tc>
        <w:tc>
          <w:tcPr>
            <w:tcW w:type="dxa" w:w="2033"/>
            <w:vAlign w:val="center"/>
            <w:shd w:fill="F4FAFA"/>
          </w:tcPr>
          <w:p>
            <w:pPr>
              <w:spacing w:after="40"/>
            </w:pPr>
            <w:r>
              <w:rPr>
                <w:color w:val="20313D"/>
                <w:sz w:val="17"/>
              </w:rPr>
            </w:r>
          </w:p>
        </w:tc>
        <w:tc>
          <w:tcPr>
            <w:tcW w:type="dxa" w:w="2033"/>
            <w:vAlign w:val="center"/>
            <w:shd w:fill="F4FAFA"/>
          </w:tcPr>
          <w:p>
            <w:pPr>
              <w:spacing w:after="40"/>
            </w:pPr>
            <w:r>
              <w:rPr>
                <w:color w:val="20313D"/>
                <w:sz w:val="17"/>
              </w:rPr>
            </w:r>
          </w:p>
        </w:tc>
        <w:tc>
          <w:tcPr>
            <w:tcW w:type="dxa" w:w="2033"/>
            <w:vAlign w:val="center"/>
            <w:shd w:fill="F4FAFA"/>
          </w:tcPr>
          <w:p>
            <w:pPr>
              <w:spacing w:after="40"/>
            </w:pPr>
            <w:r>
              <w:rPr>
                <w:color w:val="20313D"/>
                <w:sz w:val="17"/>
              </w:rPr>
            </w:r>
          </w:p>
        </w:tc>
      </w:tr>
    </w:tbl>
    <w:p/>
    <w:p>
      <w:r>
        <w:br w:type="page"/>
      </w:r>
    </w:p>
    <w:p>
      <w:pPr>
        <w:pStyle w:val="Heading1"/>
      </w:pPr>
      <w:r>
        <w:t>1. CUI Governance, Scope and Data Flow</w:t>
      </w:r>
    </w:p>
    <w:p>
      <w:pPr>
        <w:pStyle w:val="Heading2"/>
      </w:pPr>
      <w:r>
        <w:t>Objective</w:t>
      </w:r>
    </w:p>
    <w:p>
      <w:r>
        <w:t>Maintain a defensible record of where CUI enters, is processed, stored, transmitted and destroyed.</w:t>
      </w:r>
    </w:p>
    <w:p>
      <w:pPr>
        <w:pStyle w:val="Heading2"/>
      </w:pPr>
      <w:r>
        <w:t>Policy requirements</w:t>
      </w:r>
    </w:p>
    <w:p>
      <w:pPr>
        <w:pStyle w:val="ListBullet"/>
      </w:pPr>
      <w:r>
        <w:t>CUI scope is based on contracts, information categories, business processes, users, assets, security protection assets and external providers.</w:t>
      </w:r>
    </w:p>
    <w:p>
      <w:pPr>
        <w:pStyle w:val="ListBullet"/>
      </w:pPr>
      <w:r>
        <w:t>Data-flow and boundary diagrams are reviewed after material change.</w:t>
      </w:r>
    </w:p>
    <w:p>
      <w:pPr>
        <w:pStyle w:val="ListBullet"/>
      </w:pPr>
      <w:r>
        <w:t>CUI is marked, handled, shared and destroyed according to applicable authority and contractual requirements.</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Review contracts and customer flowdowns.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Interview process owners and trace representative CUI transactions.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Classify assets and providers by their role in the CUI environment.</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Approve diagrams, assumptions, exclusions and responsibility boundaries.</w:t>
            </w:r>
          </w:p>
        </w:tc>
        <w:tc>
          <w:tcPr>
            <w:tcW w:type="dxa" w:w="3389"/>
            <w:vAlign w:val="center"/>
            <w:shd w:fill="F4FAFA"/>
          </w:tcPr>
          <w:p>
            <w:pPr>
              <w:spacing w:after="40"/>
            </w:pPr>
            <w:r>
              <w:rPr>
                <w:color w:val="20313D"/>
                <w:sz w:val="17"/>
              </w:rPr>
              <w:t>[Role / system / record]</w:t>
            </w:r>
          </w:p>
        </w:tc>
      </w:tr>
    </w:tbl>
    <w:p/>
    <w:p>
      <w:pPr>
        <w:pStyle w:val="Heading2"/>
      </w:pPr>
      <w:r>
        <w:t>Suggested evidence</w:t>
      </w:r>
    </w:p>
    <w:p>
      <w:pPr>
        <w:pStyle w:val="ListBullet"/>
      </w:pPr>
      <w:r>
        <w:t>Contract clause register</w:t>
      </w:r>
    </w:p>
    <w:p>
      <w:pPr>
        <w:pStyle w:val="ListBullet"/>
      </w:pPr>
      <w:r>
        <w:t>CUI inventory and category/authority record</w:t>
      </w:r>
    </w:p>
    <w:p>
      <w:pPr>
        <w:pStyle w:val="ListBullet"/>
      </w:pPr>
      <w:r>
        <w:t>Network and data-flow diagrams</w:t>
      </w:r>
    </w:p>
    <w:p>
      <w:pPr>
        <w:pStyle w:val="ListBullet"/>
      </w:pPr>
      <w:r>
        <w:t>Asset and user inventories</w:t>
      </w:r>
    </w:p>
    <w:p>
      <w:pPr>
        <w:pStyle w:val="ListBullet"/>
      </w:pPr>
      <w:r>
        <w:t>External-provider responsibility matrix</w:t>
      </w:r>
    </w:p>
    <w:p>
      <w:pPr>
        <w:pStyle w:val="Heading2"/>
      </w:pPr>
      <w:r>
        <w:t>Measures and review triggers</w:t>
      </w:r>
    </w:p>
    <w:p>
      <w:pPr>
        <w:pStyle w:val="ListBullet"/>
      </w:pPr>
      <w:r>
        <w:t>Percentage of in-scope assets with assigned owner</w:t>
      </w:r>
    </w:p>
    <w:p>
      <w:pPr>
        <w:pStyle w:val="ListBullet"/>
      </w:pPr>
      <w:r>
        <w:t>Unresolved scope decisions</w:t>
      </w:r>
    </w:p>
    <w:p>
      <w:pPr>
        <w:pStyle w:val="ListBullet"/>
      </w:pPr>
      <w:r>
        <w:t>Material changes awaiting boundary review</w:t>
      </w:r>
    </w:p>
    <w:p>
      <w:r>
        <w:br w:type="page"/>
      </w:r>
    </w:p>
    <w:p>
      <w:pPr>
        <w:pStyle w:val="Heading1"/>
      </w:pPr>
      <w:r>
        <w:t>2. Access Control and Identification</w:t>
      </w:r>
    </w:p>
    <w:p>
      <w:pPr>
        <w:pStyle w:val="Heading2"/>
      </w:pPr>
      <w:r>
        <w:t>Objective</w:t>
      </w:r>
    </w:p>
    <w:p>
      <w:r>
        <w:t>Limit CUI access to authorized identities, devices, processes and transactions.</w:t>
      </w:r>
    </w:p>
    <w:p>
      <w:pPr>
        <w:pStyle w:val="Heading2"/>
      </w:pPr>
      <w:r>
        <w:t>Policy requirements</w:t>
      </w:r>
    </w:p>
    <w:p>
      <w:pPr>
        <w:pStyle w:val="ListBullet"/>
      </w:pPr>
      <w:r>
        <w:t>Access is approved according to role, need, contract and least-privilege principles.</w:t>
      </w:r>
    </w:p>
    <w:p>
      <w:pPr>
        <w:pStyle w:val="ListBullet"/>
      </w:pPr>
      <w:r>
        <w:t>Privileged and non-privileged access are separated and reviewed.</w:t>
      </w:r>
    </w:p>
    <w:p>
      <w:pPr>
        <w:pStyle w:val="ListBullet"/>
      </w:pPr>
      <w:r>
        <w:t>Remote, wireless, mobile and external-system access follow approved conditions.</w:t>
      </w:r>
    </w:p>
    <w:p>
      <w:pPr>
        <w:pStyle w:val="ListBullet"/>
      </w:pPr>
      <w:r>
        <w:t>Authentication, account lifecycle and session controls are technically enforced and evidenced.</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Submit and approve access request.</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Verify identity, role, training and device eligibility.</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Provision through controlled administration.</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Review access and privileged assignments.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Remove or adjust access promptly after role or status change.</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Access requests and approvals</w:t>
      </w:r>
    </w:p>
    <w:p>
      <w:pPr>
        <w:pStyle w:val="ListBullet"/>
      </w:pPr>
      <w:r>
        <w:t>Identity-provider configuration exports</w:t>
      </w:r>
    </w:p>
    <w:p>
      <w:pPr>
        <w:pStyle w:val="ListBullet"/>
      </w:pPr>
      <w:r>
        <w:t>Privileged-role inventory</w:t>
      </w:r>
    </w:p>
    <w:p>
      <w:pPr>
        <w:pStyle w:val="ListBullet"/>
      </w:pPr>
      <w:r>
        <w:t>Quarterly access-review sign-off</w:t>
      </w:r>
    </w:p>
    <w:p>
      <w:pPr>
        <w:pStyle w:val="ListBullet"/>
      </w:pPr>
      <w:r>
        <w:t>Termination/change tickets</w:t>
      </w:r>
    </w:p>
    <w:p>
      <w:pPr>
        <w:pStyle w:val="Heading2"/>
      </w:pPr>
      <w:r>
        <w:t>Measures and review triggers</w:t>
      </w:r>
    </w:p>
    <w:p>
      <w:pPr>
        <w:pStyle w:val="ListBullet"/>
      </w:pPr>
      <w:r>
        <w:t>Time to disable separated users</w:t>
      </w:r>
    </w:p>
    <w:p>
      <w:pPr>
        <w:pStyle w:val="ListBullet"/>
      </w:pPr>
      <w:r>
        <w:t>Overdue access reviews</w:t>
      </w:r>
    </w:p>
    <w:p>
      <w:pPr>
        <w:pStyle w:val="ListBullet"/>
      </w:pPr>
      <w:r>
        <w:t>Dormant/exception accounts</w:t>
      </w:r>
    </w:p>
    <w:p>
      <w:pPr>
        <w:pStyle w:val="ListBullet"/>
      </w:pPr>
      <w:r>
        <w:t>Privileged access outside approved roles</w:t>
      </w:r>
    </w:p>
    <w:p>
      <w:r>
        <w:br w:type="page"/>
      </w:r>
    </w:p>
    <w:p>
      <w:pPr>
        <w:pStyle w:val="Heading1"/>
      </w:pPr>
      <w:r>
        <w:t>3. Configuration, Vulnerability and System Integrity</w:t>
      </w:r>
    </w:p>
    <w:p>
      <w:pPr>
        <w:pStyle w:val="Heading2"/>
      </w:pPr>
      <w:r>
        <w:t>Objective</w:t>
      </w:r>
    </w:p>
    <w:p>
      <w:r>
        <w:t>Establish secure configurations and identify, prioritize and correct technical weaknesses.</w:t>
      </w:r>
    </w:p>
    <w:p>
      <w:pPr>
        <w:pStyle w:val="Heading2"/>
      </w:pPr>
      <w:r>
        <w:t>Policy requirements</w:t>
      </w:r>
    </w:p>
    <w:p>
      <w:pPr>
        <w:pStyle w:val="ListBullet"/>
      </w:pPr>
      <w:r>
        <w:t>Approved baselines are defined for in-scope technologies.</w:t>
      </w:r>
    </w:p>
    <w:p>
      <w:pPr>
        <w:pStyle w:val="ListBullet"/>
      </w:pPr>
      <w:r>
        <w:t>Changes are authorized, tested, recorded and evaluated for security impact.</w:t>
      </w:r>
    </w:p>
    <w:p>
      <w:pPr>
        <w:pStyle w:val="ListBullet"/>
      </w:pPr>
      <w:r>
        <w:t>Vulnerability and flaw remediation are risk-prioritized and closure is validated.</w:t>
      </w:r>
    </w:p>
    <w:p>
      <w:pPr>
        <w:pStyle w:val="ListBullet"/>
      </w:pPr>
      <w:r>
        <w:t>Malicious-code protection, monitoring and alert handling cover the defined environment.</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Maintain baseline and configuration inventory.</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Scan or assess assets using an approved risk-based cadence.</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Validate findings and assign remediation owners.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Document exceptions and compensating safeguards.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Retest closure and report residual exposure.</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Baseline standards</w:t>
      </w:r>
    </w:p>
    <w:p>
      <w:pPr>
        <w:pStyle w:val="ListBullet"/>
      </w:pPr>
      <w:r>
        <w:t>Configuration compliance reports</w:t>
      </w:r>
    </w:p>
    <w:p>
      <w:pPr>
        <w:pStyle w:val="ListBullet"/>
      </w:pPr>
      <w:r>
        <w:t>Vulnerability reports</w:t>
      </w:r>
    </w:p>
    <w:p>
      <w:pPr>
        <w:pStyle w:val="ListBullet"/>
      </w:pPr>
      <w:r>
        <w:t>Patch/change tickets</w:t>
      </w:r>
    </w:p>
    <w:p>
      <w:pPr>
        <w:pStyle w:val="ListBullet"/>
      </w:pPr>
      <w:r>
        <w:t>Retest evidence and exceptions</w:t>
      </w:r>
    </w:p>
    <w:p>
      <w:pPr>
        <w:pStyle w:val="Heading2"/>
      </w:pPr>
      <w:r>
        <w:t>Measures and review triggers</w:t>
      </w:r>
    </w:p>
    <w:p>
      <w:pPr>
        <w:pStyle w:val="ListBullet"/>
      </w:pPr>
      <w:r>
        <w:t>Critical exposure age</w:t>
      </w:r>
    </w:p>
    <w:p>
      <w:pPr>
        <w:pStyle w:val="ListBullet"/>
      </w:pPr>
      <w:r>
        <w:t>Assets missing assessment coverage</w:t>
      </w:r>
    </w:p>
    <w:p>
      <w:pPr>
        <w:pStyle w:val="ListBullet"/>
      </w:pPr>
      <w:r>
        <w:t>Baseline deviations</w:t>
      </w:r>
    </w:p>
    <w:p>
      <w:pPr>
        <w:pStyle w:val="ListBullet"/>
      </w:pPr>
      <w:r>
        <w:t>Reopened findings</w:t>
      </w:r>
    </w:p>
    <w:p>
      <w:r>
        <w:br w:type="page"/>
      </w:r>
    </w:p>
    <w:p>
      <w:pPr>
        <w:pStyle w:val="Heading1"/>
      </w:pPr>
      <w:r>
        <w:t>4. Audit, Accountability and Evidence</w:t>
      </w:r>
    </w:p>
    <w:p>
      <w:pPr>
        <w:pStyle w:val="Heading2"/>
      </w:pPr>
      <w:r>
        <w:t>Objective</w:t>
      </w:r>
    </w:p>
    <w:p>
      <w:r>
        <w:t>Create, protect, review and retain records needed to detect activity and demonstrate control operation.</w:t>
      </w:r>
    </w:p>
    <w:p>
      <w:pPr>
        <w:pStyle w:val="Heading2"/>
      </w:pPr>
      <w:r>
        <w:t>Policy requirements</w:t>
      </w:r>
    </w:p>
    <w:p>
      <w:pPr>
        <w:pStyle w:val="ListBullet"/>
      </w:pPr>
      <w:r>
        <w:t>Audit sources and events are defined from risk and applicable requirements.</w:t>
      </w:r>
    </w:p>
    <w:p>
      <w:pPr>
        <w:pStyle w:val="ListBullet"/>
      </w:pPr>
      <w:r>
        <w:t>Time synchronization, access, retention and protection support reliable review.</w:t>
      </w:r>
    </w:p>
    <w:p>
      <w:pPr>
        <w:pStyle w:val="ListBullet"/>
      </w:pPr>
      <w:r>
        <w:t>Alerts and review procedures identify suspicious or unauthorized activity.</w:t>
      </w:r>
    </w:p>
    <w:p>
      <w:pPr>
        <w:pStyle w:val="ListBullet"/>
      </w:pPr>
      <w:r>
        <w:t>Evidence includes source, owner, period, population and reviewer.</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Define logging sources and event coverage.</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Centralize/protect records where appropriate.</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Review alerts and scheduled reports.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Investigate anomalies and preserve records.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Perform evidence-quality checks before assessment.</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Logging architecture</w:t>
      </w:r>
    </w:p>
    <w:p>
      <w:pPr>
        <w:pStyle w:val="ListBullet"/>
      </w:pPr>
      <w:r>
        <w:t>Retention/settings exports</w:t>
      </w:r>
    </w:p>
    <w:p>
      <w:pPr>
        <w:pStyle w:val="ListBullet"/>
      </w:pPr>
      <w:r>
        <w:t>Alert tickets</w:t>
      </w:r>
    </w:p>
    <w:p>
      <w:pPr>
        <w:pStyle w:val="ListBullet"/>
      </w:pPr>
      <w:r>
        <w:t>Periodic review sign-offs</w:t>
      </w:r>
    </w:p>
    <w:p>
      <w:pPr>
        <w:pStyle w:val="ListBullet"/>
      </w:pPr>
      <w:r>
        <w:t>Evidence index and quality review</w:t>
      </w:r>
    </w:p>
    <w:p>
      <w:pPr>
        <w:pStyle w:val="Heading2"/>
      </w:pPr>
      <w:r>
        <w:t>Measures and review triggers</w:t>
      </w:r>
    </w:p>
    <w:p>
      <w:pPr>
        <w:pStyle w:val="ListBullet"/>
      </w:pPr>
      <w:r>
        <w:t>In-scope assets reporting logs</w:t>
      </w:r>
    </w:p>
    <w:p>
      <w:pPr>
        <w:pStyle w:val="ListBullet"/>
      </w:pPr>
      <w:r>
        <w:t>Alert response time</w:t>
      </w:r>
    </w:p>
    <w:p>
      <w:pPr>
        <w:pStyle w:val="ListBullet"/>
      </w:pPr>
      <w:r>
        <w:t>Evidence rejection/rework rate</w:t>
      </w:r>
    </w:p>
    <w:p>
      <w:r>
        <w:br w:type="page"/>
      </w:r>
    </w:p>
    <w:p>
      <w:pPr>
        <w:pStyle w:val="Heading1"/>
      </w:pPr>
      <w:r>
        <w:t>5. Incident Response, Reporting and Tabletop Exercise</w:t>
      </w:r>
    </w:p>
    <w:p>
      <w:pPr>
        <w:pStyle w:val="Heading2"/>
      </w:pPr>
      <w:r>
        <w:t>Objective</w:t>
      </w:r>
    </w:p>
    <w:p>
      <w:r>
        <w:t>Prepare personnel to identify, contain, investigate, report and recover from incidents affecting covered information or systems.</w:t>
      </w:r>
    </w:p>
    <w:p>
      <w:pPr>
        <w:pStyle w:val="Heading2"/>
      </w:pPr>
      <w:r>
        <w:t>Policy requirements</w:t>
      </w:r>
    </w:p>
    <w:p>
      <w:pPr>
        <w:pStyle w:val="ListBullet"/>
      </w:pPr>
      <w:r>
        <w:t>Roles, escalation paths and decision authority are documented.</w:t>
      </w:r>
    </w:p>
    <w:p>
      <w:pPr>
        <w:pStyle w:val="ListBullet"/>
      </w:pPr>
      <w:r>
        <w:t>Potential contractual reporting obligations are evaluated immediately by authorized personnel.</w:t>
      </w:r>
    </w:p>
    <w:p>
      <w:pPr>
        <w:pStyle w:val="ListBullet"/>
      </w:pPr>
      <w:r>
        <w:t>Evidence preservation and external communications follow approved procedures.</w:t>
      </w:r>
    </w:p>
    <w:p>
      <w:pPr>
        <w:pStyle w:val="ListBullet"/>
      </w:pPr>
      <w:r>
        <w:t>Exercises test technical and executive decisions and produce corrective actions.</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Receive and triage report.</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Classify impact and activate response roles.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Contain while preserving evidence.</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Evaluate contractual/legal notification with qualified stakeholders.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Recover, document lessons and track actions.</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Incident plan and contacts</w:t>
      </w:r>
    </w:p>
    <w:p>
      <w:pPr>
        <w:pStyle w:val="ListBullet"/>
      </w:pPr>
      <w:r>
        <w:t>Triage/response records</w:t>
      </w:r>
    </w:p>
    <w:p>
      <w:pPr>
        <w:pStyle w:val="ListBullet"/>
      </w:pPr>
      <w:r>
        <w:t>Reporting decision record</w:t>
      </w:r>
    </w:p>
    <w:p>
      <w:pPr>
        <w:pStyle w:val="ListBullet"/>
      </w:pPr>
      <w:r>
        <w:t>Forensic/evidence log</w:t>
      </w:r>
    </w:p>
    <w:p>
      <w:pPr>
        <w:pStyle w:val="ListBullet"/>
      </w:pPr>
      <w:r>
        <w:t>Tabletop scenario and after-action report</w:t>
      </w:r>
    </w:p>
    <w:p>
      <w:pPr>
        <w:pStyle w:val="Heading2"/>
      </w:pPr>
      <w:r>
        <w:t>Measures and review triggers</w:t>
      </w:r>
    </w:p>
    <w:p>
      <w:pPr>
        <w:pStyle w:val="ListBullet"/>
      </w:pPr>
      <w:r>
        <w:t>Time to triage/escalate</w:t>
      </w:r>
    </w:p>
    <w:p>
      <w:pPr>
        <w:pStyle w:val="ListBullet"/>
      </w:pPr>
      <w:r>
        <w:t>Overdue exercise actions</w:t>
      </w:r>
    </w:p>
    <w:p>
      <w:pPr>
        <w:pStyle w:val="ListBullet"/>
      </w:pPr>
      <w:r>
        <w:t>Repeat causes</w:t>
      </w:r>
    </w:p>
    <w:p>
      <w:pPr>
        <w:pStyle w:val="ListBullet"/>
      </w:pPr>
      <w:r>
        <w:t>Reporting decisions missing approval</w:t>
      </w:r>
    </w:p>
    <w:p>
      <w:r>
        <w:br w:type="page"/>
      </w:r>
    </w:p>
    <w:p>
      <w:pPr>
        <w:pStyle w:val="Heading1"/>
      </w:pPr>
      <w:r>
        <w:t>6. Risk Assessment, Security Assessment and POA&amp;M</w:t>
      </w:r>
    </w:p>
    <w:p>
      <w:pPr>
        <w:pStyle w:val="Heading2"/>
      </w:pPr>
      <w:r>
        <w:t>Objective</w:t>
      </w:r>
    </w:p>
    <w:p>
      <w:r>
        <w:t>Evaluate risk and control implementation, document deficiencies and drive accountable remediation.</w:t>
      </w:r>
    </w:p>
    <w:p>
      <w:pPr>
        <w:pStyle w:val="Heading2"/>
      </w:pPr>
      <w:r>
        <w:t>Policy requirements</w:t>
      </w:r>
    </w:p>
    <w:p>
      <w:pPr>
        <w:pStyle w:val="ListBullet"/>
      </w:pPr>
      <w:r>
        <w:t>Assessments use approved scope, criteria, methods and qualified personnel.</w:t>
      </w:r>
    </w:p>
    <w:p>
      <w:pPr>
        <w:pStyle w:val="ListBullet"/>
      </w:pPr>
      <w:r>
        <w:t>Findings distinguish design, implementation, operating and evidence gaps.</w:t>
      </w:r>
    </w:p>
    <w:p>
      <w:pPr>
        <w:pStyle w:val="ListBullet"/>
      </w:pPr>
      <w:r>
        <w:t>POA&amp;M entries include root cause, risk, owner, milestones, resources and validation criteria.</w:t>
      </w:r>
    </w:p>
    <w:p>
      <w:pPr>
        <w:pStyle w:val="ListBullet"/>
      </w:pPr>
      <w:r>
        <w:t>Risk acceptance follows defined authority and does not override prohibited treatment.</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Plan scope and assessment method.</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Collect evidence and interview owners.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Test implementation and document results.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Prioritize remediation and approve milestones.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Validate closure independently of the implementer where feasible.</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Risk register</w:t>
      </w:r>
    </w:p>
    <w:p>
      <w:pPr>
        <w:pStyle w:val="ListBullet"/>
      </w:pPr>
      <w:r>
        <w:t>Assessment plan/report</w:t>
      </w:r>
    </w:p>
    <w:p>
      <w:pPr>
        <w:pStyle w:val="ListBullet"/>
      </w:pPr>
      <w:r>
        <w:t>SSP and implementation statements</w:t>
      </w:r>
    </w:p>
    <w:p>
      <w:pPr>
        <w:pStyle w:val="ListBullet"/>
      </w:pPr>
      <w:r>
        <w:t>POA&amp;M</w:t>
      </w:r>
    </w:p>
    <w:p>
      <w:pPr>
        <w:pStyle w:val="ListBullet"/>
      </w:pPr>
      <w:r>
        <w:t>Closure evidence</w:t>
      </w:r>
    </w:p>
    <w:p>
      <w:pPr>
        <w:pStyle w:val="ListBullet"/>
      </w:pPr>
      <w:r>
        <w:t>Management review</w:t>
      </w:r>
    </w:p>
    <w:p>
      <w:pPr>
        <w:pStyle w:val="Heading2"/>
      </w:pPr>
      <w:r>
        <w:t>Measures and review triggers</w:t>
      </w:r>
    </w:p>
    <w:p>
      <w:pPr>
        <w:pStyle w:val="ListBullet"/>
      </w:pPr>
      <w:r>
        <w:t>Open/overdue POA&amp;M items</w:t>
      </w:r>
    </w:p>
    <w:p>
      <w:pPr>
        <w:pStyle w:val="ListBullet"/>
      </w:pPr>
      <w:r>
        <w:t>Risk exposure by category</w:t>
      </w:r>
    </w:p>
    <w:p>
      <w:pPr>
        <w:pStyle w:val="ListBullet"/>
      </w:pPr>
      <w:r>
        <w:t>Closure validation failure rate</w:t>
      </w:r>
    </w:p>
    <w:p>
      <w:pPr>
        <w:pStyle w:val="ListBullet"/>
      </w:pPr>
      <w:r>
        <w:t>Assessment readiness trend</w:t>
      </w:r>
    </w:p>
    <w:p>
      <w:r>
        <w:br w:type="page"/>
      </w:r>
    </w:p>
    <w:p>
      <w:pPr>
        <w:pStyle w:val="Heading1"/>
      </w:pPr>
      <w:r>
        <w:t>7. Media, Physical, Personnel and External Providers</w:t>
      </w:r>
    </w:p>
    <w:p>
      <w:pPr>
        <w:pStyle w:val="Heading2"/>
      </w:pPr>
      <w:r>
        <w:t>Objective</w:t>
      </w:r>
    </w:p>
    <w:p>
      <w:r>
        <w:t>Protect CUI across people, facilities, media and supplier relationships.</w:t>
      </w:r>
    </w:p>
    <w:p>
      <w:pPr>
        <w:pStyle w:val="Heading2"/>
      </w:pPr>
      <w:r>
        <w:t>Policy requirements</w:t>
      </w:r>
    </w:p>
    <w:p>
      <w:pPr>
        <w:pStyle w:val="ListBullet"/>
      </w:pPr>
      <w:r>
        <w:t>Physical access, visitors and alternate work locations are controlled according to risk.</w:t>
      </w:r>
    </w:p>
    <w:p>
      <w:pPr>
        <w:pStyle w:val="ListBullet"/>
      </w:pPr>
      <w:r>
        <w:t>Media is inventoried, transported, sanitized and destroyed using approved methods.</w:t>
      </w:r>
    </w:p>
    <w:p>
      <w:pPr>
        <w:pStyle w:val="ListBullet"/>
      </w:pPr>
      <w:r>
        <w:t>Personnel screening, transfers and terminations trigger documented safeguards.</w:t>
      </w:r>
    </w:p>
    <w:p>
      <w:pPr>
        <w:pStyle w:val="ListBullet"/>
      </w:pPr>
      <w:r>
        <w:t>External providers have defined security responsibilities, due diligence and monitoring.</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Authorize personnel and physical access.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Label and track media where applicable.</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Approve transport/sharing method.</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Perform supplier/service due diligence.</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Review access, obligations and evidence at renewal or material change.</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Visitor/access records</w:t>
      </w:r>
    </w:p>
    <w:p>
      <w:pPr>
        <w:pStyle w:val="ListBullet"/>
      </w:pPr>
      <w:r>
        <w:t>Media inventory/destruction certificate</w:t>
      </w:r>
    </w:p>
    <w:p>
      <w:pPr>
        <w:pStyle w:val="ListBullet"/>
      </w:pPr>
      <w:r>
        <w:t>Personnel onboarding/offboarding</w:t>
      </w:r>
    </w:p>
    <w:p>
      <w:pPr>
        <w:pStyle w:val="ListBullet"/>
      </w:pPr>
      <w:r>
        <w:t>Supplier assessment</w:t>
      </w:r>
    </w:p>
    <w:p>
      <w:pPr>
        <w:pStyle w:val="ListBullet"/>
      </w:pPr>
      <w:r>
        <w:t>Contracts and responsibility matrix</w:t>
      </w:r>
    </w:p>
    <w:p>
      <w:pPr>
        <w:pStyle w:val="Heading2"/>
      </w:pPr>
      <w:r>
        <w:t>Measures and review triggers</w:t>
      </w:r>
    </w:p>
    <w:p>
      <w:pPr>
        <w:pStyle w:val="ListBullet"/>
      </w:pPr>
      <w:r>
        <w:t>Unreturned media/assets</w:t>
      </w:r>
    </w:p>
    <w:p>
      <w:pPr>
        <w:pStyle w:val="ListBullet"/>
      </w:pPr>
      <w:r>
        <w:t>Supplier reviews overdue</w:t>
      </w:r>
    </w:p>
    <w:p>
      <w:pPr>
        <w:pStyle w:val="ListBullet"/>
      </w:pPr>
      <w:r>
        <w:t>Physical access exceptions</w:t>
      </w:r>
    </w:p>
    <w:p>
      <w:pPr>
        <w:pStyle w:val="ListBullet"/>
      </w:pPr>
      <w:r>
        <w:t>Offboarding SLA compliance</w:t>
      </w:r>
    </w:p>
    <w:p>
      <w:pPr>
        <w:pStyle w:val="Heading1"/>
      </w:pPr>
      <w:r>
        <w:t>Policy exception form</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5083"/>
        <w:gridCol w:w="5083"/>
      </w:tblGrid>
      <w:tr>
        <w:tc>
          <w:tcPr>
            <w:tcW w:type="dxa" w:w="5083"/>
            <w:shd w:fill="183B56"/>
            <w:vAlign w:val="center"/>
          </w:tcPr>
          <w:p>
            <w:r>
              <w:rPr>
                <w:b/>
                <w:color w:val="FFFFFF"/>
                <w:sz w:val="18"/>
              </w:rPr>
              <w:t>Field</w:t>
            </w:r>
          </w:p>
        </w:tc>
        <w:tc>
          <w:tcPr>
            <w:tcW w:type="dxa" w:w="5083"/>
            <w:shd w:fill="183B56"/>
            <w:vAlign w:val="center"/>
          </w:tcPr>
          <w:p>
            <w:r>
              <w:rPr>
                <w:b/>
                <w:color w:val="FFFFFF"/>
                <w:sz w:val="18"/>
              </w:rPr>
              <w:t>Required information</w:t>
            </w:r>
          </w:p>
        </w:tc>
      </w:tr>
      <w:tr>
        <w:tc>
          <w:tcPr>
            <w:tcW w:type="dxa" w:w="5083"/>
            <w:vAlign w:val="center"/>
          </w:tcPr>
          <w:p>
            <w:pPr>
              <w:spacing w:after="40"/>
            </w:pPr>
            <w:r>
              <w:rPr>
                <w:color w:val="20313D"/>
                <w:sz w:val="17"/>
              </w:rPr>
              <w:t>Policy / requirement</w:t>
            </w:r>
          </w:p>
        </w:tc>
        <w:tc>
          <w:tcPr>
            <w:tcW w:type="dxa" w:w="5083"/>
            <w:vAlign w:val="center"/>
          </w:tcPr>
          <w:p>
            <w:pPr>
              <w:spacing w:after="40"/>
            </w:pPr>
            <w:r>
              <w:rPr>
                <w:color w:val="20313D"/>
                <w:sz w:val="17"/>
              </w:rPr>
              <w:t>[Name and section]</w:t>
            </w:r>
          </w:p>
        </w:tc>
      </w:tr>
      <w:tr>
        <w:tc>
          <w:tcPr>
            <w:tcW w:type="dxa" w:w="5083"/>
            <w:vAlign w:val="center"/>
            <w:shd w:fill="F4FAFA"/>
          </w:tcPr>
          <w:p>
            <w:pPr>
              <w:spacing w:after="40"/>
            </w:pPr>
            <w:r>
              <w:rPr>
                <w:color w:val="20313D"/>
                <w:sz w:val="17"/>
              </w:rPr>
              <w:t>Business reason</w:t>
            </w:r>
          </w:p>
        </w:tc>
        <w:tc>
          <w:tcPr>
            <w:tcW w:type="dxa" w:w="5083"/>
            <w:vAlign w:val="center"/>
            <w:shd w:fill="F4FAFA"/>
          </w:tcPr>
          <w:p>
            <w:pPr>
              <w:spacing w:after="40"/>
            </w:pPr>
            <w:r>
              <w:rPr>
                <w:color w:val="20313D"/>
                <w:sz w:val="17"/>
              </w:rPr>
              <w:t>[Why the standard process cannot be followed]</w:t>
            </w:r>
          </w:p>
        </w:tc>
      </w:tr>
      <w:tr>
        <w:tc>
          <w:tcPr>
            <w:tcW w:type="dxa" w:w="5083"/>
            <w:vAlign w:val="center"/>
          </w:tcPr>
          <w:p>
            <w:pPr>
              <w:spacing w:after="40"/>
            </w:pPr>
            <w:r>
              <w:rPr>
                <w:color w:val="20313D"/>
                <w:sz w:val="17"/>
              </w:rPr>
              <w:t>Risk</w:t>
            </w:r>
          </w:p>
        </w:tc>
        <w:tc>
          <w:tcPr>
            <w:tcW w:type="dxa" w:w="5083"/>
            <w:vAlign w:val="center"/>
          </w:tcPr>
          <w:p>
            <w:pPr>
              <w:spacing w:after="40"/>
            </w:pPr>
            <w:r>
              <w:rPr>
                <w:color w:val="20313D"/>
                <w:sz w:val="17"/>
              </w:rPr>
              <w:t>[Threat, likelihood, impact and affected data/service]</w:t>
            </w:r>
          </w:p>
        </w:tc>
      </w:tr>
      <w:tr>
        <w:tc>
          <w:tcPr>
            <w:tcW w:type="dxa" w:w="5083"/>
            <w:vAlign w:val="center"/>
            <w:shd w:fill="F4FAFA"/>
          </w:tcPr>
          <w:p>
            <w:pPr>
              <w:spacing w:after="40"/>
            </w:pPr>
            <w:r>
              <w:rPr>
                <w:color w:val="20313D"/>
                <w:sz w:val="17"/>
              </w:rPr>
              <w:t>Compensating safeguards</w:t>
            </w:r>
          </w:p>
        </w:tc>
        <w:tc>
          <w:tcPr>
            <w:tcW w:type="dxa" w:w="5083"/>
            <w:vAlign w:val="center"/>
            <w:shd w:fill="F4FAFA"/>
          </w:tcPr>
          <w:p>
            <w:pPr>
              <w:spacing w:after="40"/>
            </w:pPr>
            <w:r>
              <w:rPr>
                <w:color w:val="20313D"/>
                <w:sz w:val="17"/>
              </w:rPr>
              <w:t>[What reduces the risk during the exception]</w:t>
            </w:r>
          </w:p>
        </w:tc>
      </w:tr>
      <w:tr>
        <w:tc>
          <w:tcPr>
            <w:tcW w:type="dxa" w:w="5083"/>
            <w:vAlign w:val="center"/>
          </w:tcPr>
          <w:p>
            <w:pPr>
              <w:spacing w:after="40"/>
            </w:pPr>
            <w:r>
              <w:rPr>
                <w:color w:val="20313D"/>
                <w:sz w:val="17"/>
              </w:rPr>
              <w:t>Owner and expiration</w:t>
            </w:r>
          </w:p>
        </w:tc>
        <w:tc>
          <w:tcPr>
            <w:tcW w:type="dxa" w:w="5083"/>
            <w:vAlign w:val="center"/>
          </w:tcPr>
          <w:p>
            <w:pPr>
              <w:spacing w:after="40"/>
            </w:pPr>
            <w:r>
              <w:rPr>
                <w:color w:val="20313D"/>
                <w:sz w:val="17"/>
              </w:rPr>
              <w:t>[Named owner and end date]</w:t>
            </w:r>
          </w:p>
        </w:tc>
      </w:tr>
      <w:tr>
        <w:tc>
          <w:tcPr>
            <w:tcW w:type="dxa" w:w="5083"/>
            <w:vAlign w:val="center"/>
            <w:shd w:fill="F4FAFA"/>
          </w:tcPr>
          <w:p>
            <w:pPr>
              <w:spacing w:after="40"/>
            </w:pPr>
            <w:r>
              <w:rPr>
                <w:color w:val="20313D"/>
                <w:sz w:val="17"/>
              </w:rPr>
              <w:t>Approval</w:t>
            </w:r>
          </w:p>
        </w:tc>
        <w:tc>
          <w:tcPr>
            <w:tcW w:type="dxa" w:w="5083"/>
            <w:vAlign w:val="center"/>
            <w:shd w:fill="F4FAFA"/>
          </w:tcPr>
          <w:p>
            <w:pPr>
              <w:spacing w:after="40"/>
            </w:pPr>
            <w:r>
              <w:rPr>
                <w:color w:val="20313D"/>
                <w:sz w:val="17"/>
              </w:rPr>
              <w:t>[Authorized approver and date]</w:t>
            </w:r>
          </w:p>
        </w:tc>
      </w:tr>
    </w:tbl>
    <w:p/>
    <w:p>
      <w:pPr>
        <w:pStyle w:val="Heading1"/>
      </w:pPr>
      <w:r>
        <w:t>Implementation and evidence checklist</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2541"/>
        <w:gridCol w:w="2541"/>
        <w:gridCol w:w="2541"/>
        <w:gridCol w:w="2541"/>
      </w:tblGrid>
      <w:tr>
        <w:tc>
          <w:tcPr>
            <w:tcW w:type="dxa" w:w="2541"/>
            <w:shd w:fill="183B56"/>
            <w:vAlign w:val="center"/>
          </w:tcPr>
          <w:p>
            <w:r>
              <w:rPr>
                <w:b/>
                <w:color w:val="FFFFFF"/>
                <w:sz w:val="18"/>
              </w:rPr>
              <w:t>Checkpoint</w:t>
            </w:r>
          </w:p>
        </w:tc>
        <w:tc>
          <w:tcPr>
            <w:tcW w:type="dxa" w:w="2541"/>
            <w:shd w:fill="183B56"/>
            <w:vAlign w:val="center"/>
          </w:tcPr>
          <w:p>
            <w:r>
              <w:rPr>
                <w:b/>
                <w:color w:val="FFFFFF"/>
                <w:sz w:val="18"/>
              </w:rPr>
              <w:t>Status</w:t>
            </w:r>
          </w:p>
        </w:tc>
        <w:tc>
          <w:tcPr>
            <w:tcW w:type="dxa" w:w="2541"/>
            <w:shd w:fill="183B56"/>
            <w:vAlign w:val="center"/>
          </w:tcPr>
          <w:p>
            <w:r>
              <w:rPr>
                <w:b/>
                <w:color w:val="FFFFFF"/>
                <w:sz w:val="18"/>
              </w:rPr>
              <w:t>Owner</w:t>
            </w:r>
          </w:p>
        </w:tc>
        <w:tc>
          <w:tcPr>
            <w:tcW w:type="dxa" w:w="2541"/>
            <w:shd w:fill="183B56"/>
            <w:vAlign w:val="center"/>
          </w:tcPr>
          <w:p>
            <w:r>
              <w:rPr>
                <w:b/>
                <w:color w:val="FFFFFF"/>
                <w:sz w:val="18"/>
              </w:rPr>
              <w:t>Evidence / action</w:t>
            </w:r>
          </w:p>
        </w:tc>
      </w:tr>
      <w:tr>
        <w:tc>
          <w:tcPr>
            <w:tcW w:type="dxa" w:w="2541"/>
            <w:vAlign w:val="center"/>
          </w:tcPr>
          <w:p>
            <w:pPr>
              <w:spacing w:after="40"/>
            </w:pPr>
            <w:r>
              <w:rPr>
                <w:color w:val="20313D"/>
                <w:sz w:val="17"/>
              </w:rPr>
              <w:t>Scope approved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Roles assigned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r>
        <w:tc>
          <w:tcPr>
            <w:tcW w:type="dxa" w:w="2541"/>
            <w:vAlign w:val="center"/>
          </w:tcPr>
          <w:p>
            <w:pPr>
              <w:spacing w:after="40"/>
            </w:pPr>
            <w:r>
              <w:rPr>
                <w:color w:val="20313D"/>
                <w:sz w:val="17"/>
              </w:rPr>
              <w:t>Policies approved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Procedures implemented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r>
        <w:tc>
          <w:tcPr>
            <w:tcW w:type="dxa" w:w="2541"/>
            <w:vAlign w:val="center"/>
          </w:tcPr>
          <w:p>
            <w:pPr>
              <w:spacing w:after="40"/>
            </w:pPr>
            <w:r>
              <w:rPr>
                <w:color w:val="20313D"/>
                <w:sz w:val="17"/>
              </w:rPr>
              <w:t>Workforce trained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Technical settings validated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r>
        <w:tc>
          <w:tcPr>
            <w:tcW w:type="dxa" w:w="2541"/>
            <w:vAlign w:val="center"/>
          </w:tcPr>
          <w:p>
            <w:pPr>
              <w:spacing w:after="40"/>
            </w:pPr>
            <w:r>
              <w:rPr>
                <w:color w:val="20313D"/>
                <w:sz w:val="17"/>
              </w:rPr>
              <w:t>Evidence collected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Exceptions reviewed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r>
        <w:tc>
          <w:tcPr>
            <w:tcW w:type="dxa" w:w="2541"/>
            <w:vAlign w:val="center"/>
          </w:tcPr>
          <w:p>
            <w:pPr>
              <w:spacing w:after="40"/>
            </w:pPr>
            <w:r>
              <w:rPr>
                <w:color w:val="20313D"/>
                <w:sz w:val="17"/>
              </w:rPr>
              <w:t>Exercise completed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Management review completed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bl>
    <w:p/>
    <w:p>
      <w:pPr>
        <w:pStyle w:val="Heading1"/>
      </w:pPr>
      <w:r>
        <w:t>Important use notice</w:t>
      </w:r>
    </w:p>
    <w:p>
      <w:r>
        <w:t>This editable CMMC/NIST SP 800-171 sample is an educational starting point. It must be tailored to the organization, its legal and contractual obligations, technology, risk, workforce and actual practices. It is not legal advice, an audit opinion, certification, attestation, or a guarantee of compliance. Validate current requirements and obtain qualified legal, privacy, contracting and assessor guidance where appropriate.</w:t>
      </w:r>
    </w:p>
    <w:sectPr w:rsidR="00FC693F" w:rsidRPr="0006063C" w:rsidSect="00034616">
      <w:headerReference w:type="default" r:id="rId9"/>
      <w:footerReference w:type="default" r:id="rId10"/>
      <w:pgSz w:w="12240" w:h="15840"/>
      <w:pgMar w:top="1008"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6E78"/>
        <w:sz w:val="15"/>
      </w:rPr>
      <w:t>Starter template • Customize to your organization and validate against current authoritative requirements.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1D8A8A"/>
        <w:sz w:val="16"/>
      </w:rPr>
      <w:t>SENTINELBRIDGE ADVISORY   /   SAMPLE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031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83B56"/>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D8A8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83B56"/>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